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FBAF3" w14:textId="77777777" w:rsidR="009418AC" w:rsidRDefault="009418AC" w:rsidP="009418AC">
      <w:pPr>
        <w:tabs>
          <w:tab w:val="left" w:pos="-1296"/>
          <w:tab w:val="left" w:pos="0"/>
          <w:tab w:val="left" w:pos="1296"/>
          <w:tab w:val="left" w:pos="2592"/>
          <w:tab w:val="left" w:pos="3888"/>
          <w:tab w:val="left" w:pos="5184"/>
          <w:tab w:val="left" w:pos="6480"/>
          <w:tab w:val="right" w:pos="9360"/>
        </w:tabs>
        <w:jc w:val="right"/>
        <w:rPr>
          <w:rFonts w:ascii="Calibri" w:hAnsi="Calibri" w:cs="Tahoma"/>
          <w:bCs/>
          <w:spacing w:val="-3"/>
        </w:rPr>
      </w:pPr>
    </w:p>
    <w:p w14:paraId="149FE243" w14:textId="546C810D" w:rsidR="00577791" w:rsidRDefault="00274EF0" w:rsidP="00D40775">
      <w:pPr>
        <w:tabs>
          <w:tab w:val="left" w:pos="-1296"/>
          <w:tab w:val="left" w:pos="0"/>
          <w:tab w:val="left" w:pos="1296"/>
          <w:tab w:val="left" w:pos="2592"/>
          <w:tab w:val="left" w:pos="3888"/>
          <w:tab w:val="left" w:pos="5184"/>
          <w:tab w:val="left" w:pos="6480"/>
          <w:tab w:val="right" w:pos="9360"/>
        </w:tabs>
        <w:jc w:val="right"/>
        <w:rPr>
          <w:rFonts w:ascii="Calibri" w:hAnsi="Calibri" w:cs="Tahoma"/>
          <w:bCs/>
          <w:spacing w:val="-3"/>
        </w:rPr>
      </w:pPr>
      <w:r>
        <w:rPr>
          <w:rFonts w:ascii="Calibri" w:hAnsi="Calibri" w:cs="Tahoma"/>
          <w:bCs/>
          <w:spacing w:val="-3"/>
        </w:rPr>
        <w:tab/>
      </w:r>
      <w:r>
        <w:rPr>
          <w:rFonts w:ascii="Calibri" w:hAnsi="Calibri" w:cs="Tahoma"/>
          <w:bCs/>
          <w:spacing w:val="-3"/>
        </w:rPr>
        <w:tab/>
      </w:r>
      <w:r>
        <w:rPr>
          <w:rFonts w:ascii="Calibri" w:hAnsi="Calibri" w:cs="Tahoma"/>
          <w:bCs/>
          <w:spacing w:val="-3"/>
        </w:rPr>
        <w:tab/>
      </w:r>
      <w:r>
        <w:rPr>
          <w:rFonts w:ascii="Calibri" w:hAnsi="Calibri" w:cs="Tahoma"/>
          <w:bCs/>
          <w:spacing w:val="-3"/>
        </w:rPr>
        <w:tab/>
        <w:t xml:space="preserve"> </w:t>
      </w:r>
      <w:r w:rsidR="006A1812" w:rsidRPr="00BF50DE">
        <w:rPr>
          <w:rFonts w:ascii="Calibri" w:hAnsi="Calibri" w:cs="Tahoma"/>
          <w:bCs/>
          <w:spacing w:val="-3"/>
        </w:rPr>
        <w:t xml:space="preserve">Sääntökokoelma </w:t>
      </w:r>
      <w:r w:rsidR="00FE22F0">
        <w:rPr>
          <w:rFonts w:ascii="Calibri" w:hAnsi="Calibri" w:cs="Tahoma"/>
          <w:bCs/>
          <w:spacing w:val="-3"/>
        </w:rPr>
        <w:t>E 1</w:t>
      </w:r>
    </w:p>
    <w:p w14:paraId="44ABAF38" w14:textId="2D6104A8" w:rsidR="006A1812" w:rsidRPr="00ED635C" w:rsidRDefault="00FE22F0" w:rsidP="00D40775">
      <w:pPr>
        <w:tabs>
          <w:tab w:val="left" w:pos="-1296"/>
          <w:tab w:val="left" w:pos="0"/>
          <w:tab w:val="left" w:pos="1296"/>
          <w:tab w:val="left" w:pos="2592"/>
          <w:tab w:val="left" w:pos="3888"/>
          <w:tab w:val="left" w:pos="5184"/>
          <w:tab w:val="left" w:pos="6480"/>
          <w:tab w:val="left" w:pos="7004"/>
          <w:tab w:val="right" w:pos="9360"/>
        </w:tabs>
        <w:jc w:val="right"/>
        <w:rPr>
          <w:rFonts w:ascii="Calibri" w:hAnsi="Calibri"/>
        </w:rPr>
      </w:pPr>
      <w:r>
        <w:rPr>
          <w:rFonts w:ascii="Calibri" w:hAnsi="Calibri" w:cs="Tahoma"/>
          <w:bCs/>
          <w:spacing w:val="-3"/>
        </w:rPr>
        <w:tab/>
      </w:r>
      <w:r>
        <w:rPr>
          <w:rFonts w:ascii="Calibri" w:hAnsi="Calibri" w:cs="Tahoma"/>
          <w:bCs/>
          <w:spacing w:val="-3"/>
        </w:rPr>
        <w:tab/>
      </w:r>
      <w:r w:rsidR="001B3D72">
        <w:rPr>
          <w:rFonts w:ascii="Calibri" w:hAnsi="Calibri" w:cs="Tahoma"/>
          <w:bCs/>
          <w:spacing w:val="-3"/>
        </w:rPr>
        <w:tab/>
      </w:r>
      <w:r w:rsidR="001B3D72">
        <w:rPr>
          <w:rFonts w:ascii="Calibri" w:hAnsi="Calibri" w:cs="Tahoma"/>
          <w:bCs/>
          <w:spacing w:val="-3"/>
        </w:rPr>
        <w:tab/>
      </w:r>
      <w:r w:rsidR="00D40775">
        <w:rPr>
          <w:rFonts w:ascii="Calibri" w:hAnsi="Calibri" w:cs="Tahoma"/>
          <w:bCs/>
          <w:spacing w:val="-3"/>
        </w:rPr>
        <w:t xml:space="preserve">        </w:t>
      </w:r>
      <w:r w:rsidR="00CC6717" w:rsidRPr="00ED635C">
        <w:rPr>
          <w:rFonts w:ascii="Calibri" w:hAnsi="Calibri"/>
        </w:rPr>
        <w:t xml:space="preserve">YKV </w:t>
      </w:r>
      <w:r w:rsidR="001B3D72">
        <w:rPr>
          <w:rFonts w:ascii="Calibri" w:hAnsi="Calibri"/>
        </w:rPr>
        <w:t>18.9.2024</w:t>
      </w:r>
      <w:r w:rsidR="00CC6717" w:rsidRPr="00ED635C">
        <w:rPr>
          <w:rFonts w:ascii="Calibri" w:hAnsi="Calibri"/>
        </w:rPr>
        <w:tab/>
      </w:r>
    </w:p>
    <w:p w14:paraId="096DBEFB" w14:textId="69846BC9" w:rsidR="006A1812" w:rsidRDefault="00577791" w:rsidP="00D40775">
      <w:pPr>
        <w:jc w:val="right"/>
        <w:rPr>
          <w:rFonts w:ascii="Calibri" w:hAnsi="Calibri"/>
        </w:rPr>
      </w:pPr>
      <w:r>
        <w:rPr>
          <w:rFonts w:ascii="Calibri" w:hAnsi="Calibri"/>
        </w:rPr>
        <w:t xml:space="preserve"> </w:t>
      </w:r>
      <w:r w:rsidR="006905D8">
        <w:rPr>
          <w:rFonts w:ascii="Calibri" w:hAnsi="Calibri"/>
        </w:rPr>
        <w:t xml:space="preserve">  </w:t>
      </w:r>
      <w:r w:rsidR="006905D8">
        <w:rPr>
          <w:rFonts w:ascii="Calibri" w:hAnsi="Calibri"/>
        </w:rPr>
        <w:tab/>
        <w:t xml:space="preserve">  </w:t>
      </w:r>
      <w:r w:rsidR="001B3D72">
        <w:rPr>
          <w:rFonts w:ascii="Calibri" w:hAnsi="Calibri"/>
        </w:rPr>
        <w:tab/>
      </w:r>
      <w:r w:rsidR="001B3D72">
        <w:rPr>
          <w:rFonts w:ascii="Calibri" w:hAnsi="Calibri"/>
        </w:rPr>
        <w:tab/>
      </w:r>
      <w:r w:rsidR="001B3D72">
        <w:rPr>
          <w:rFonts w:ascii="Calibri" w:hAnsi="Calibri"/>
        </w:rPr>
        <w:tab/>
        <w:t xml:space="preserve">  </w:t>
      </w:r>
      <w:r w:rsidR="00274EF0">
        <w:rPr>
          <w:rFonts w:ascii="Calibri" w:hAnsi="Calibri"/>
        </w:rPr>
        <w:t>Kumoaa säännön</w:t>
      </w:r>
      <w:r w:rsidR="00CC6717" w:rsidRPr="00ED635C">
        <w:rPr>
          <w:rFonts w:ascii="Calibri" w:hAnsi="Calibri"/>
        </w:rPr>
        <w:t xml:space="preserve"> </w:t>
      </w:r>
      <w:r w:rsidR="00965D5B">
        <w:rPr>
          <w:rFonts w:ascii="Calibri" w:hAnsi="Calibri"/>
        </w:rPr>
        <w:t>YKV 27.3.2.2</w:t>
      </w:r>
      <w:r w:rsidR="001B3D72">
        <w:rPr>
          <w:rFonts w:ascii="Calibri" w:hAnsi="Calibri"/>
        </w:rPr>
        <w:t>0</w:t>
      </w:r>
      <w:r w:rsidR="00965D5B">
        <w:rPr>
          <w:rFonts w:ascii="Calibri" w:hAnsi="Calibri"/>
        </w:rPr>
        <w:t>19</w:t>
      </w:r>
    </w:p>
    <w:p w14:paraId="15512173" w14:textId="48993364" w:rsidR="00D40775" w:rsidRPr="00ED635C" w:rsidRDefault="00D40775" w:rsidP="00D40775">
      <w:pPr>
        <w:jc w:val="right"/>
        <w:rPr>
          <w:rFonts w:ascii="Calibri" w:hAnsi="Calibri"/>
        </w:rPr>
      </w:pPr>
      <w:r>
        <w:rPr>
          <w:rFonts w:ascii="Calibri" w:hAnsi="Calibri"/>
        </w:rPr>
        <w:t xml:space="preserve">Logo vaihdettu 14.3.2025 </w:t>
      </w:r>
    </w:p>
    <w:p w14:paraId="5244492C" w14:textId="2E52D5C5" w:rsidR="006A1812" w:rsidRPr="00BF50DE" w:rsidRDefault="00442A08" w:rsidP="003B1A7B">
      <w:pPr>
        <w:pStyle w:val="Asiateksti"/>
        <w:tabs>
          <w:tab w:val="clear" w:pos="7779"/>
          <w:tab w:val="clear" w:pos="8931"/>
          <w:tab w:val="right" w:pos="9360"/>
        </w:tabs>
        <w:ind w:left="0" w:firstLine="0"/>
        <w:jc w:val="right"/>
        <w:rPr>
          <w:rFonts w:ascii="Calibri" w:hAnsi="Calibri" w:cs="Tahoma"/>
          <w:b/>
          <w:szCs w:val="24"/>
        </w:rPr>
      </w:pPr>
      <w:r>
        <w:rPr>
          <w:rFonts w:ascii="Calibri" w:hAnsi="Calibri" w:cs="Tahoma"/>
          <w:szCs w:val="24"/>
        </w:rPr>
        <w:tab/>
      </w:r>
    </w:p>
    <w:p w14:paraId="20B7FA59" w14:textId="77777777" w:rsidR="006A1812" w:rsidRPr="009418AC" w:rsidRDefault="006A1812" w:rsidP="006A1812">
      <w:pPr>
        <w:pStyle w:val="Asiateksti"/>
        <w:ind w:left="0" w:firstLine="0"/>
        <w:rPr>
          <w:rFonts w:ascii="Calibri" w:hAnsi="Calibri" w:cs="Tahoma"/>
          <w:sz w:val="28"/>
          <w:szCs w:val="28"/>
        </w:rPr>
      </w:pPr>
    </w:p>
    <w:p w14:paraId="4D0BE83F" w14:textId="13791C9D" w:rsidR="006A1812" w:rsidRPr="00F97AE7" w:rsidRDefault="004F2B60" w:rsidP="006A1812">
      <w:pPr>
        <w:pStyle w:val="Asiateksti"/>
        <w:rPr>
          <w:rFonts w:ascii="Calibri" w:hAnsi="Calibri" w:cs="Tahoma"/>
          <w:b/>
          <w:bCs/>
          <w:sz w:val="36"/>
          <w:szCs w:val="36"/>
        </w:rPr>
      </w:pPr>
      <w:r w:rsidRPr="00F97AE7">
        <w:rPr>
          <w:rFonts w:ascii="Calibri" w:hAnsi="Calibri" w:cs="Tahoma"/>
          <w:b/>
          <w:bCs/>
          <w:sz w:val="36"/>
          <w:szCs w:val="36"/>
        </w:rPr>
        <w:t>HAUTAUSTOIMEN OHJESÄÄNTÖ</w:t>
      </w:r>
    </w:p>
    <w:p w14:paraId="5CD99067" w14:textId="77777777" w:rsidR="006A1812" w:rsidRPr="00BF50DE" w:rsidRDefault="006A1812" w:rsidP="006A1812">
      <w:pPr>
        <w:pStyle w:val="Asiateksti"/>
        <w:rPr>
          <w:rFonts w:ascii="Calibri" w:hAnsi="Calibri" w:cs="Tahoma"/>
          <w:b/>
          <w:bCs/>
          <w:szCs w:val="24"/>
        </w:rPr>
      </w:pPr>
    </w:p>
    <w:p w14:paraId="21859F41" w14:textId="77777777" w:rsidR="006A1812" w:rsidRPr="00BF50DE" w:rsidRDefault="006A1812" w:rsidP="006A1812">
      <w:pPr>
        <w:pStyle w:val="Asiateksti"/>
        <w:ind w:left="0" w:firstLine="0"/>
        <w:rPr>
          <w:rFonts w:ascii="Calibri" w:hAnsi="Calibri" w:cs="Tahoma"/>
          <w:b/>
          <w:bCs/>
          <w:szCs w:val="24"/>
        </w:rPr>
      </w:pPr>
    </w:p>
    <w:p w14:paraId="58982FC9" w14:textId="23283CE9" w:rsidR="004F2B60" w:rsidRDefault="004F2B60" w:rsidP="004F2B60">
      <w:pPr>
        <w:pStyle w:val="Asiateksti"/>
        <w:ind w:left="0" w:firstLine="0"/>
        <w:rPr>
          <w:rFonts w:ascii="Calibri" w:hAnsi="Calibri" w:cs="Tahoma"/>
          <w:b/>
          <w:spacing w:val="-3"/>
        </w:rPr>
      </w:pPr>
    </w:p>
    <w:bookmarkStart w:id="0" w:name="_Hlk530989763"/>
    <w:p w14:paraId="00CA9A30" w14:textId="6044668A" w:rsidR="00794411" w:rsidRDefault="004F2B60">
      <w:pPr>
        <w:pStyle w:val="Sisluet3"/>
        <w:tabs>
          <w:tab w:val="right" w:pos="9736"/>
        </w:tabs>
        <w:rPr>
          <w:rFonts w:asciiTheme="minorHAnsi" w:eastAsiaTheme="minorEastAsia" w:hAnsiTheme="minorHAnsi" w:cstheme="minorBidi"/>
          <w:noProof/>
          <w:kern w:val="2"/>
          <w14:ligatures w14:val="standardContextual"/>
        </w:rPr>
      </w:pPr>
      <w:r w:rsidRPr="004F2B60">
        <w:rPr>
          <w:rFonts w:ascii="Calibri" w:hAnsi="Calibri" w:cs="Tahoma"/>
          <w:b/>
          <w:spacing w:val="-3"/>
          <w:szCs w:val="20"/>
          <w:u w:val="single"/>
        </w:rPr>
        <w:fldChar w:fldCharType="begin"/>
      </w:r>
      <w:r w:rsidRPr="004F2B60">
        <w:rPr>
          <w:rFonts w:ascii="Calibri" w:hAnsi="Calibri" w:cs="Tahoma"/>
          <w:b/>
          <w:spacing w:val="-3"/>
          <w:u w:val="single"/>
        </w:rPr>
        <w:instrText xml:space="preserve"> TOC \o "1-6" \h \z \u </w:instrText>
      </w:r>
      <w:r w:rsidRPr="004F2B60">
        <w:rPr>
          <w:rFonts w:ascii="Calibri" w:hAnsi="Calibri" w:cs="Tahoma"/>
          <w:b/>
          <w:spacing w:val="-3"/>
          <w:szCs w:val="20"/>
          <w:u w:val="single"/>
        </w:rPr>
        <w:fldChar w:fldCharType="separate"/>
      </w:r>
      <w:hyperlink w:anchor="_Toc232169008" w:history="1">
        <w:r w:rsidR="00794411" w:rsidRPr="008B43A3">
          <w:rPr>
            <w:rStyle w:val="Hyperlinkki"/>
            <w:rFonts w:cstheme="minorHAnsi"/>
            <w:noProof/>
            <w:lang w:eastAsia="en-US"/>
          </w:rPr>
          <w:t>1 § Hautaustointa koskevat säännökset ja määräykset</w:t>
        </w:r>
        <w:r w:rsidR="00794411">
          <w:rPr>
            <w:noProof/>
            <w:webHidden/>
          </w:rPr>
          <w:tab/>
        </w:r>
        <w:r w:rsidR="00794411">
          <w:rPr>
            <w:noProof/>
            <w:webHidden/>
          </w:rPr>
          <w:fldChar w:fldCharType="begin"/>
        </w:r>
        <w:r w:rsidR="00794411">
          <w:rPr>
            <w:noProof/>
            <w:webHidden/>
          </w:rPr>
          <w:instrText xml:space="preserve"> PAGEREF _Toc232169008 \h </w:instrText>
        </w:r>
        <w:r w:rsidR="00794411">
          <w:rPr>
            <w:noProof/>
            <w:webHidden/>
          </w:rPr>
        </w:r>
        <w:r w:rsidR="00794411">
          <w:rPr>
            <w:noProof/>
            <w:webHidden/>
          </w:rPr>
          <w:fldChar w:fldCharType="separate"/>
        </w:r>
        <w:r w:rsidR="00794411">
          <w:rPr>
            <w:noProof/>
            <w:webHidden/>
          </w:rPr>
          <w:t>1</w:t>
        </w:r>
        <w:r w:rsidR="00794411">
          <w:rPr>
            <w:noProof/>
            <w:webHidden/>
          </w:rPr>
          <w:fldChar w:fldCharType="end"/>
        </w:r>
      </w:hyperlink>
    </w:p>
    <w:p w14:paraId="7789E705" w14:textId="24152D76"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09" w:history="1">
        <w:r w:rsidRPr="008B43A3">
          <w:rPr>
            <w:rStyle w:val="Hyperlinkki"/>
            <w:rFonts w:cstheme="minorHAnsi"/>
            <w:noProof/>
            <w:lang w:eastAsia="en-US"/>
          </w:rPr>
          <w:t>2 § Hautausmaat ja tunnustuksettomat hauta-alueet</w:t>
        </w:r>
        <w:r>
          <w:rPr>
            <w:noProof/>
            <w:webHidden/>
          </w:rPr>
          <w:tab/>
        </w:r>
        <w:r>
          <w:rPr>
            <w:noProof/>
            <w:webHidden/>
          </w:rPr>
          <w:fldChar w:fldCharType="begin"/>
        </w:r>
        <w:r>
          <w:rPr>
            <w:noProof/>
            <w:webHidden/>
          </w:rPr>
          <w:instrText xml:space="preserve"> PAGEREF _Toc232169009 \h </w:instrText>
        </w:r>
        <w:r>
          <w:rPr>
            <w:noProof/>
            <w:webHidden/>
          </w:rPr>
        </w:r>
        <w:r>
          <w:rPr>
            <w:noProof/>
            <w:webHidden/>
          </w:rPr>
          <w:fldChar w:fldCharType="separate"/>
        </w:r>
        <w:r>
          <w:rPr>
            <w:noProof/>
            <w:webHidden/>
          </w:rPr>
          <w:t>1</w:t>
        </w:r>
        <w:r>
          <w:rPr>
            <w:noProof/>
            <w:webHidden/>
          </w:rPr>
          <w:fldChar w:fldCharType="end"/>
        </w:r>
      </w:hyperlink>
    </w:p>
    <w:p w14:paraId="0070A4E1" w14:textId="03E1B59E"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0" w:history="1">
        <w:r w:rsidRPr="008B43A3">
          <w:rPr>
            <w:rStyle w:val="Hyperlinkki"/>
            <w:rFonts w:cstheme="minorHAnsi"/>
            <w:noProof/>
            <w:lang w:eastAsia="en-US"/>
          </w:rPr>
          <w:t>3 § Hautausmaan käytön ohjaus ja suunnittelu</w:t>
        </w:r>
        <w:r>
          <w:rPr>
            <w:noProof/>
            <w:webHidden/>
          </w:rPr>
          <w:tab/>
        </w:r>
        <w:r>
          <w:rPr>
            <w:noProof/>
            <w:webHidden/>
          </w:rPr>
          <w:fldChar w:fldCharType="begin"/>
        </w:r>
        <w:r>
          <w:rPr>
            <w:noProof/>
            <w:webHidden/>
          </w:rPr>
          <w:instrText xml:space="preserve"> PAGEREF _Toc232169010 \h </w:instrText>
        </w:r>
        <w:r>
          <w:rPr>
            <w:noProof/>
            <w:webHidden/>
          </w:rPr>
        </w:r>
        <w:r>
          <w:rPr>
            <w:noProof/>
            <w:webHidden/>
          </w:rPr>
          <w:fldChar w:fldCharType="separate"/>
        </w:r>
        <w:r>
          <w:rPr>
            <w:noProof/>
            <w:webHidden/>
          </w:rPr>
          <w:t>1</w:t>
        </w:r>
        <w:r>
          <w:rPr>
            <w:noProof/>
            <w:webHidden/>
          </w:rPr>
          <w:fldChar w:fldCharType="end"/>
        </w:r>
      </w:hyperlink>
    </w:p>
    <w:p w14:paraId="7C7206B4" w14:textId="14D41EB3"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1" w:history="1">
        <w:r w:rsidRPr="008B43A3">
          <w:rPr>
            <w:rStyle w:val="Hyperlinkki"/>
            <w:rFonts w:cstheme="minorHAnsi"/>
            <w:noProof/>
            <w:lang w:eastAsia="en-US"/>
          </w:rPr>
          <w:t>4 § Hauta</w:t>
        </w:r>
        <w:r>
          <w:rPr>
            <w:noProof/>
            <w:webHidden/>
          </w:rPr>
          <w:tab/>
        </w:r>
        <w:r>
          <w:rPr>
            <w:noProof/>
            <w:webHidden/>
          </w:rPr>
          <w:fldChar w:fldCharType="begin"/>
        </w:r>
        <w:r>
          <w:rPr>
            <w:noProof/>
            <w:webHidden/>
          </w:rPr>
          <w:instrText xml:space="preserve"> PAGEREF _Toc232169011 \h </w:instrText>
        </w:r>
        <w:r>
          <w:rPr>
            <w:noProof/>
            <w:webHidden/>
          </w:rPr>
        </w:r>
        <w:r>
          <w:rPr>
            <w:noProof/>
            <w:webHidden/>
          </w:rPr>
          <w:fldChar w:fldCharType="separate"/>
        </w:r>
        <w:r>
          <w:rPr>
            <w:noProof/>
            <w:webHidden/>
          </w:rPr>
          <w:t>1</w:t>
        </w:r>
        <w:r>
          <w:rPr>
            <w:noProof/>
            <w:webHidden/>
          </w:rPr>
          <w:fldChar w:fldCharType="end"/>
        </w:r>
      </w:hyperlink>
    </w:p>
    <w:p w14:paraId="3D7825B9" w14:textId="2FA3A4EC"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2" w:history="1">
        <w:r w:rsidRPr="008B43A3">
          <w:rPr>
            <w:rStyle w:val="Hyperlinkki"/>
            <w:rFonts w:cstheme="minorHAnsi"/>
            <w:noProof/>
            <w:lang w:eastAsia="en-US"/>
          </w:rPr>
          <w:t>5 § Hautausjärjestelyistä sopiminen</w:t>
        </w:r>
        <w:r>
          <w:rPr>
            <w:noProof/>
            <w:webHidden/>
          </w:rPr>
          <w:tab/>
        </w:r>
        <w:r>
          <w:rPr>
            <w:noProof/>
            <w:webHidden/>
          </w:rPr>
          <w:fldChar w:fldCharType="begin"/>
        </w:r>
        <w:r>
          <w:rPr>
            <w:noProof/>
            <w:webHidden/>
          </w:rPr>
          <w:instrText xml:space="preserve"> PAGEREF _Toc232169012 \h </w:instrText>
        </w:r>
        <w:r>
          <w:rPr>
            <w:noProof/>
            <w:webHidden/>
          </w:rPr>
        </w:r>
        <w:r>
          <w:rPr>
            <w:noProof/>
            <w:webHidden/>
          </w:rPr>
          <w:fldChar w:fldCharType="separate"/>
        </w:r>
        <w:r>
          <w:rPr>
            <w:noProof/>
            <w:webHidden/>
          </w:rPr>
          <w:t>1</w:t>
        </w:r>
        <w:r>
          <w:rPr>
            <w:noProof/>
            <w:webHidden/>
          </w:rPr>
          <w:fldChar w:fldCharType="end"/>
        </w:r>
      </w:hyperlink>
    </w:p>
    <w:p w14:paraId="454BF2AA" w14:textId="33DCE08E"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3" w:history="1">
        <w:r w:rsidRPr="008B43A3">
          <w:rPr>
            <w:rStyle w:val="Hyperlinkki"/>
            <w:rFonts w:cstheme="minorHAnsi"/>
            <w:noProof/>
            <w:lang w:eastAsia="en-US"/>
          </w:rPr>
          <w:t>6 § Hautaoikeus</w:t>
        </w:r>
        <w:r>
          <w:rPr>
            <w:noProof/>
            <w:webHidden/>
          </w:rPr>
          <w:tab/>
        </w:r>
        <w:r>
          <w:rPr>
            <w:noProof/>
            <w:webHidden/>
          </w:rPr>
          <w:fldChar w:fldCharType="begin"/>
        </w:r>
        <w:r>
          <w:rPr>
            <w:noProof/>
            <w:webHidden/>
          </w:rPr>
          <w:instrText xml:space="preserve"> PAGEREF _Toc232169013 \h </w:instrText>
        </w:r>
        <w:r>
          <w:rPr>
            <w:noProof/>
            <w:webHidden/>
          </w:rPr>
        </w:r>
        <w:r>
          <w:rPr>
            <w:noProof/>
            <w:webHidden/>
          </w:rPr>
          <w:fldChar w:fldCharType="separate"/>
        </w:r>
        <w:r>
          <w:rPr>
            <w:noProof/>
            <w:webHidden/>
          </w:rPr>
          <w:t>1</w:t>
        </w:r>
        <w:r>
          <w:rPr>
            <w:noProof/>
            <w:webHidden/>
          </w:rPr>
          <w:fldChar w:fldCharType="end"/>
        </w:r>
      </w:hyperlink>
    </w:p>
    <w:p w14:paraId="0DA9300A" w14:textId="6EF8FE01"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4" w:history="1">
        <w:r w:rsidRPr="008B43A3">
          <w:rPr>
            <w:rStyle w:val="Hyperlinkki"/>
            <w:rFonts w:cstheme="minorHAnsi"/>
            <w:noProof/>
            <w:lang w:eastAsia="en-US"/>
          </w:rPr>
          <w:t>7 § Hautaamisjärjestys</w:t>
        </w:r>
        <w:r>
          <w:rPr>
            <w:noProof/>
            <w:webHidden/>
          </w:rPr>
          <w:tab/>
        </w:r>
        <w:r>
          <w:rPr>
            <w:noProof/>
            <w:webHidden/>
          </w:rPr>
          <w:fldChar w:fldCharType="begin"/>
        </w:r>
        <w:r>
          <w:rPr>
            <w:noProof/>
            <w:webHidden/>
          </w:rPr>
          <w:instrText xml:space="preserve"> PAGEREF _Toc232169014 \h </w:instrText>
        </w:r>
        <w:r>
          <w:rPr>
            <w:noProof/>
            <w:webHidden/>
          </w:rPr>
        </w:r>
        <w:r>
          <w:rPr>
            <w:noProof/>
            <w:webHidden/>
          </w:rPr>
          <w:fldChar w:fldCharType="separate"/>
        </w:r>
        <w:r>
          <w:rPr>
            <w:noProof/>
            <w:webHidden/>
          </w:rPr>
          <w:t>1</w:t>
        </w:r>
        <w:r>
          <w:rPr>
            <w:noProof/>
            <w:webHidden/>
          </w:rPr>
          <w:fldChar w:fldCharType="end"/>
        </w:r>
      </w:hyperlink>
    </w:p>
    <w:p w14:paraId="2EA49FAA" w14:textId="55EC9287"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5" w:history="1">
        <w:r w:rsidRPr="008B43A3">
          <w:rPr>
            <w:rStyle w:val="Hyperlinkki"/>
            <w:rFonts w:cstheme="minorHAnsi"/>
            <w:noProof/>
            <w:lang w:eastAsia="en-US"/>
          </w:rPr>
          <w:t>8 § Hautaoikeuden haltija</w:t>
        </w:r>
        <w:r>
          <w:rPr>
            <w:noProof/>
            <w:webHidden/>
          </w:rPr>
          <w:tab/>
        </w:r>
        <w:r>
          <w:rPr>
            <w:noProof/>
            <w:webHidden/>
          </w:rPr>
          <w:fldChar w:fldCharType="begin"/>
        </w:r>
        <w:r>
          <w:rPr>
            <w:noProof/>
            <w:webHidden/>
          </w:rPr>
          <w:instrText xml:space="preserve"> PAGEREF _Toc232169015 \h </w:instrText>
        </w:r>
        <w:r>
          <w:rPr>
            <w:noProof/>
            <w:webHidden/>
          </w:rPr>
        </w:r>
        <w:r>
          <w:rPr>
            <w:noProof/>
            <w:webHidden/>
          </w:rPr>
          <w:fldChar w:fldCharType="separate"/>
        </w:r>
        <w:r>
          <w:rPr>
            <w:noProof/>
            <w:webHidden/>
          </w:rPr>
          <w:t>1</w:t>
        </w:r>
        <w:r>
          <w:rPr>
            <w:noProof/>
            <w:webHidden/>
          </w:rPr>
          <w:fldChar w:fldCharType="end"/>
        </w:r>
      </w:hyperlink>
    </w:p>
    <w:p w14:paraId="7C8E00CA" w14:textId="6D37A450"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6" w:history="1">
        <w:r w:rsidRPr="008B43A3">
          <w:rPr>
            <w:rStyle w:val="Hyperlinkki"/>
            <w:rFonts w:cstheme="minorHAnsi"/>
            <w:noProof/>
            <w:lang w:eastAsia="en-US"/>
          </w:rPr>
          <w:t>9 § Ruumiin ja tuhkan käsittely, säilyttäminen ja kuljettaminen</w:t>
        </w:r>
        <w:r>
          <w:rPr>
            <w:noProof/>
            <w:webHidden/>
          </w:rPr>
          <w:tab/>
        </w:r>
        <w:r>
          <w:rPr>
            <w:noProof/>
            <w:webHidden/>
          </w:rPr>
          <w:fldChar w:fldCharType="begin"/>
        </w:r>
        <w:r>
          <w:rPr>
            <w:noProof/>
            <w:webHidden/>
          </w:rPr>
          <w:instrText xml:space="preserve"> PAGEREF _Toc232169016 \h </w:instrText>
        </w:r>
        <w:r>
          <w:rPr>
            <w:noProof/>
            <w:webHidden/>
          </w:rPr>
        </w:r>
        <w:r>
          <w:rPr>
            <w:noProof/>
            <w:webHidden/>
          </w:rPr>
          <w:fldChar w:fldCharType="separate"/>
        </w:r>
        <w:r>
          <w:rPr>
            <w:noProof/>
            <w:webHidden/>
          </w:rPr>
          <w:t>1</w:t>
        </w:r>
        <w:r>
          <w:rPr>
            <w:noProof/>
            <w:webHidden/>
          </w:rPr>
          <w:fldChar w:fldCharType="end"/>
        </w:r>
      </w:hyperlink>
    </w:p>
    <w:p w14:paraId="6EC142E3" w14:textId="568B9155"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7" w:history="1">
        <w:r w:rsidRPr="008B43A3">
          <w:rPr>
            <w:rStyle w:val="Hyperlinkki"/>
            <w:rFonts w:cstheme="minorHAnsi"/>
            <w:noProof/>
            <w:lang w:eastAsia="en-US"/>
          </w:rPr>
          <w:t>10 § Hautaaminen</w:t>
        </w:r>
        <w:r>
          <w:rPr>
            <w:noProof/>
            <w:webHidden/>
          </w:rPr>
          <w:tab/>
        </w:r>
        <w:r>
          <w:rPr>
            <w:noProof/>
            <w:webHidden/>
          </w:rPr>
          <w:fldChar w:fldCharType="begin"/>
        </w:r>
        <w:r>
          <w:rPr>
            <w:noProof/>
            <w:webHidden/>
          </w:rPr>
          <w:instrText xml:space="preserve"> PAGEREF _Toc232169017 \h </w:instrText>
        </w:r>
        <w:r>
          <w:rPr>
            <w:noProof/>
            <w:webHidden/>
          </w:rPr>
        </w:r>
        <w:r>
          <w:rPr>
            <w:noProof/>
            <w:webHidden/>
          </w:rPr>
          <w:fldChar w:fldCharType="separate"/>
        </w:r>
        <w:r>
          <w:rPr>
            <w:noProof/>
            <w:webHidden/>
          </w:rPr>
          <w:t>1</w:t>
        </w:r>
        <w:r>
          <w:rPr>
            <w:noProof/>
            <w:webHidden/>
          </w:rPr>
          <w:fldChar w:fldCharType="end"/>
        </w:r>
      </w:hyperlink>
    </w:p>
    <w:p w14:paraId="072FE1E6" w14:textId="6E2886B1"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8" w:history="1">
        <w:r w:rsidRPr="008B43A3">
          <w:rPr>
            <w:rStyle w:val="Hyperlinkki"/>
            <w:rFonts w:cstheme="minorHAnsi"/>
            <w:noProof/>
            <w:lang w:eastAsia="en-US"/>
          </w:rPr>
          <w:t>11 § Haudatun ruumiin tai tuhkan siirto</w:t>
        </w:r>
        <w:r>
          <w:rPr>
            <w:noProof/>
            <w:webHidden/>
          </w:rPr>
          <w:tab/>
        </w:r>
        <w:r>
          <w:rPr>
            <w:noProof/>
            <w:webHidden/>
          </w:rPr>
          <w:fldChar w:fldCharType="begin"/>
        </w:r>
        <w:r>
          <w:rPr>
            <w:noProof/>
            <w:webHidden/>
          </w:rPr>
          <w:instrText xml:space="preserve"> PAGEREF _Toc232169018 \h </w:instrText>
        </w:r>
        <w:r>
          <w:rPr>
            <w:noProof/>
            <w:webHidden/>
          </w:rPr>
        </w:r>
        <w:r>
          <w:rPr>
            <w:noProof/>
            <w:webHidden/>
          </w:rPr>
          <w:fldChar w:fldCharType="separate"/>
        </w:r>
        <w:r>
          <w:rPr>
            <w:noProof/>
            <w:webHidden/>
          </w:rPr>
          <w:t>1</w:t>
        </w:r>
        <w:r>
          <w:rPr>
            <w:noProof/>
            <w:webHidden/>
          </w:rPr>
          <w:fldChar w:fldCharType="end"/>
        </w:r>
      </w:hyperlink>
    </w:p>
    <w:p w14:paraId="52F9E987" w14:textId="375BBEFD"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19" w:history="1">
        <w:r w:rsidRPr="008B43A3">
          <w:rPr>
            <w:rStyle w:val="Hyperlinkki"/>
            <w:rFonts w:cstheme="minorHAnsi"/>
            <w:noProof/>
            <w:lang w:eastAsia="en-US"/>
          </w:rPr>
          <w:t>12 § Haudan hoitaminen</w:t>
        </w:r>
        <w:r>
          <w:rPr>
            <w:noProof/>
            <w:webHidden/>
          </w:rPr>
          <w:tab/>
        </w:r>
        <w:r>
          <w:rPr>
            <w:noProof/>
            <w:webHidden/>
          </w:rPr>
          <w:fldChar w:fldCharType="begin"/>
        </w:r>
        <w:r>
          <w:rPr>
            <w:noProof/>
            <w:webHidden/>
          </w:rPr>
          <w:instrText xml:space="preserve"> PAGEREF _Toc232169019 \h </w:instrText>
        </w:r>
        <w:r>
          <w:rPr>
            <w:noProof/>
            <w:webHidden/>
          </w:rPr>
        </w:r>
        <w:r>
          <w:rPr>
            <w:noProof/>
            <w:webHidden/>
          </w:rPr>
          <w:fldChar w:fldCharType="separate"/>
        </w:r>
        <w:r>
          <w:rPr>
            <w:noProof/>
            <w:webHidden/>
          </w:rPr>
          <w:t>1</w:t>
        </w:r>
        <w:r>
          <w:rPr>
            <w:noProof/>
            <w:webHidden/>
          </w:rPr>
          <w:fldChar w:fldCharType="end"/>
        </w:r>
      </w:hyperlink>
    </w:p>
    <w:p w14:paraId="5880C9FE" w14:textId="7B19AE10"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20" w:history="1">
        <w:r w:rsidRPr="008B43A3">
          <w:rPr>
            <w:rStyle w:val="Hyperlinkki"/>
            <w:rFonts w:cstheme="minorHAnsi"/>
            <w:noProof/>
            <w:lang w:eastAsia="en-US"/>
          </w:rPr>
          <w:t>13 § Hautamuistomerkit</w:t>
        </w:r>
        <w:r>
          <w:rPr>
            <w:noProof/>
            <w:webHidden/>
          </w:rPr>
          <w:tab/>
        </w:r>
        <w:r>
          <w:rPr>
            <w:noProof/>
            <w:webHidden/>
          </w:rPr>
          <w:fldChar w:fldCharType="begin"/>
        </w:r>
        <w:r>
          <w:rPr>
            <w:noProof/>
            <w:webHidden/>
          </w:rPr>
          <w:instrText xml:space="preserve"> PAGEREF _Toc232169020 \h </w:instrText>
        </w:r>
        <w:r>
          <w:rPr>
            <w:noProof/>
            <w:webHidden/>
          </w:rPr>
        </w:r>
        <w:r>
          <w:rPr>
            <w:noProof/>
            <w:webHidden/>
          </w:rPr>
          <w:fldChar w:fldCharType="separate"/>
        </w:r>
        <w:r>
          <w:rPr>
            <w:noProof/>
            <w:webHidden/>
          </w:rPr>
          <w:t>1</w:t>
        </w:r>
        <w:r>
          <w:rPr>
            <w:noProof/>
            <w:webHidden/>
          </w:rPr>
          <w:fldChar w:fldCharType="end"/>
        </w:r>
      </w:hyperlink>
    </w:p>
    <w:p w14:paraId="5FD1E8F7" w14:textId="27C7F2DC"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21" w:history="1">
        <w:r w:rsidRPr="008B43A3">
          <w:rPr>
            <w:rStyle w:val="Hyperlinkki"/>
            <w:rFonts w:cstheme="minorHAnsi"/>
            <w:noProof/>
            <w:lang w:eastAsia="en-US"/>
          </w:rPr>
          <w:t>14 § Hautakirjanpito</w:t>
        </w:r>
        <w:r>
          <w:rPr>
            <w:noProof/>
            <w:webHidden/>
          </w:rPr>
          <w:tab/>
        </w:r>
        <w:r>
          <w:rPr>
            <w:noProof/>
            <w:webHidden/>
          </w:rPr>
          <w:fldChar w:fldCharType="begin"/>
        </w:r>
        <w:r>
          <w:rPr>
            <w:noProof/>
            <w:webHidden/>
          </w:rPr>
          <w:instrText xml:space="preserve"> PAGEREF _Toc232169021 \h </w:instrText>
        </w:r>
        <w:r>
          <w:rPr>
            <w:noProof/>
            <w:webHidden/>
          </w:rPr>
        </w:r>
        <w:r>
          <w:rPr>
            <w:noProof/>
            <w:webHidden/>
          </w:rPr>
          <w:fldChar w:fldCharType="separate"/>
        </w:r>
        <w:r>
          <w:rPr>
            <w:noProof/>
            <w:webHidden/>
          </w:rPr>
          <w:t>1</w:t>
        </w:r>
        <w:r>
          <w:rPr>
            <w:noProof/>
            <w:webHidden/>
          </w:rPr>
          <w:fldChar w:fldCharType="end"/>
        </w:r>
      </w:hyperlink>
    </w:p>
    <w:p w14:paraId="12E347D1" w14:textId="2C48BE5F"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22" w:history="1">
        <w:r w:rsidRPr="008B43A3">
          <w:rPr>
            <w:rStyle w:val="Hyperlinkki"/>
            <w:rFonts w:cstheme="minorHAnsi"/>
            <w:noProof/>
            <w:lang w:eastAsia="en-US"/>
          </w:rPr>
          <w:t>15 § Hautausmaalla noudatettava järjestys</w:t>
        </w:r>
        <w:r>
          <w:rPr>
            <w:noProof/>
            <w:webHidden/>
          </w:rPr>
          <w:tab/>
        </w:r>
        <w:r>
          <w:rPr>
            <w:noProof/>
            <w:webHidden/>
          </w:rPr>
          <w:fldChar w:fldCharType="begin"/>
        </w:r>
        <w:r>
          <w:rPr>
            <w:noProof/>
            <w:webHidden/>
          </w:rPr>
          <w:instrText xml:space="preserve"> PAGEREF _Toc232169022 \h </w:instrText>
        </w:r>
        <w:r>
          <w:rPr>
            <w:noProof/>
            <w:webHidden/>
          </w:rPr>
        </w:r>
        <w:r>
          <w:rPr>
            <w:noProof/>
            <w:webHidden/>
          </w:rPr>
          <w:fldChar w:fldCharType="separate"/>
        </w:r>
        <w:r>
          <w:rPr>
            <w:noProof/>
            <w:webHidden/>
          </w:rPr>
          <w:t>1</w:t>
        </w:r>
        <w:r>
          <w:rPr>
            <w:noProof/>
            <w:webHidden/>
          </w:rPr>
          <w:fldChar w:fldCharType="end"/>
        </w:r>
      </w:hyperlink>
    </w:p>
    <w:p w14:paraId="3446C89C" w14:textId="3250F49F"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23" w:history="1">
        <w:r w:rsidRPr="008B43A3">
          <w:rPr>
            <w:rStyle w:val="Hyperlinkki"/>
            <w:rFonts w:cstheme="minorHAnsi"/>
            <w:noProof/>
          </w:rPr>
          <w:t>16 § Erimielisyyden ratkaiseminen</w:t>
        </w:r>
        <w:r>
          <w:rPr>
            <w:noProof/>
            <w:webHidden/>
          </w:rPr>
          <w:tab/>
        </w:r>
        <w:r>
          <w:rPr>
            <w:noProof/>
            <w:webHidden/>
          </w:rPr>
          <w:fldChar w:fldCharType="begin"/>
        </w:r>
        <w:r>
          <w:rPr>
            <w:noProof/>
            <w:webHidden/>
          </w:rPr>
          <w:instrText xml:space="preserve"> PAGEREF _Toc232169023 \h </w:instrText>
        </w:r>
        <w:r>
          <w:rPr>
            <w:noProof/>
            <w:webHidden/>
          </w:rPr>
        </w:r>
        <w:r>
          <w:rPr>
            <w:noProof/>
            <w:webHidden/>
          </w:rPr>
          <w:fldChar w:fldCharType="separate"/>
        </w:r>
        <w:r>
          <w:rPr>
            <w:noProof/>
            <w:webHidden/>
          </w:rPr>
          <w:t>1</w:t>
        </w:r>
        <w:r>
          <w:rPr>
            <w:noProof/>
            <w:webHidden/>
          </w:rPr>
          <w:fldChar w:fldCharType="end"/>
        </w:r>
      </w:hyperlink>
    </w:p>
    <w:p w14:paraId="1A8ADE8B" w14:textId="39AD6011"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24" w:history="1">
        <w:r w:rsidRPr="008B43A3">
          <w:rPr>
            <w:rStyle w:val="Hyperlinkki"/>
            <w:rFonts w:cstheme="minorHAnsi"/>
            <w:noProof/>
          </w:rPr>
          <w:t>17 § Muut määräykset</w:t>
        </w:r>
        <w:r>
          <w:rPr>
            <w:noProof/>
            <w:webHidden/>
          </w:rPr>
          <w:tab/>
        </w:r>
        <w:r>
          <w:rPr>
            <w:noProof/>
            <w:webHidden/>
          </w:rPr>
          <w:fldChar w:fldCharType="begin"/>
        </w:r>
        <w:r>
          <w:rPr>
            <w:noProof/>
            <w:webHidden/>
          </w:rPr>
          <w:instrText xml:space="preserve"> PAGEREF _Toc232169024 \h </w:instrText>
        </w:r>
        <w:r>
          <w:rPr>
            <w:noProof/>
            <w:webHidden/>
          </w:rPr>
        </w:r>
        <w:r>
          <w:rPr>
            <w:noProof/>
            <w:webHidden/>
          </w:rPr>
          <w:fldChar w:fldCharType="separate"/>
        </w:r>
        <w:r>
          <w:rPr>
            <w:noProof/>
            <w:webHidden/>
          </w:rPr>
          <w:t>1</w:t>
        </w:r>
        <w:r>
          <w:rPr>
            <w:noProof/>
            <w:webHidden/>
          </w:rPr>
          <w:fldChar w:fldCharType="end"/>
        </w:r>
      </w:hyperlink>
    </w:p>
    <w:p w14:paraId="5C88341D" w14:textId="22B58E86" w:rsidR="00794411" w:rsidRDefault="00794411">
      <w:pPr>
        <w:pStyle w:val="Sisluet3"/>
        <w:tabs>
          <w:tab w:val="right" w:pos="9736"/>
        </w:tabs>
        <w:rPr>
          <w:rFonts w:asciiTheme="minorHAnsi" w:eastAsiaTheme="minorEastAsia" w:hAnsiTheme="minorHAnsi" w:cstheme="minorBidi"/>
          <w:noProof/>
          <w:kern w:val="2"/>
          <w14:ligatures w14:val="standardContextual"/>
        </w:rPr>
      </w:pPr>
      <w:hyperlink w:anchor="_Toc232169025" w:history="1">
        <w:r w:rsidRPr="008B43A3">
          <w:rPr>
            <w:rStyle w:val="Hyperlinkki"/>
            <w:rFonts w:cstheme="minorHAnsi"/>
            <w:noProof/>
            <w:lang w:eastAsia="en-US"/>
          </w:rPr>
          <w:t>Liite 1 Kuva haudasta, hautapaikasta ja hautasijasta</w:t>
        </w:r>
        <w:r>
          <w:rPr>
            <w:noProof/>
            <w:webHidden/>
          </w:rPr>
          <w:tab/>
        </w:r>
        <w:r>
          <w:rPr>
            <w:noProof/>
            <w:webHidden/>
          </w:rPr>
          <w:fldChar w:fldCharType="begin"/>
        </w:r>
        <w:r>
          <w:rPr>
            <w:noProof/>
            <w:webHidden/>
          </w:rPr>
          <w:instrText xml:space="preserve"> PAGEREF _Toc232169025 \h </w:instrText>
        </w:r>
        <w:r>
          <w:rPr>
            <w:noProof/>
            <w:webHidden/>
          </w:rPr>
        </w:r>
        <w:r>
          <w:rPr>
            <w:noProof/>
            <w:webHidden/>
          </w:rPr>
          <w:fldChar w:fldCharType="separate"/>
        </w:r>
        <w:r>
          <w:rPr>
            <w:noProof/>
            <w:webHidden/>
          </w:rPr>
          <w:t>1</w:t>
        </w:r>
        <w:r>
          <w:rPr>
            <w:noProof/>
            <w:webHidden/>
          </w:rPr>
          <w:fldChar w:fldCharType="end"/>
        </w:r>
      </w:hyperlink>
    </w:p>
    <w:p w14:paraId="0E69D0CF" w14:textId="70443086" w:rsidR="004F2B60" w:rsidRDefault="004F2B60" w:rsidP="004F2B60">
      <w:pPr>
        <w:pStyle w:val="Asiateksti"/>
        <w:ind w:left="0" w:firstLine="0"/>
        <w:rPr>
          <w:rFonts w:ascii="Calibri" w:hAnsi="Calibri" w:cs="Tahoma"/>
          <w:spacing w:val="-3"/>
          <w:szCs w:val="24"/>
        </w:rPr>
      </w:pPr>
      <w:r w:rsidRPr="004F2B60">
        <w:rPr>
          <w:rFonts w:ascii="Calibri" w:hAnsi="Calibri" w:cs="Tahoma"/>
          <w:b/>
          <w:spacing w:val="-3"/>
          <w:szCs w:val="24"/>
        </w:rPr>
        <w:fldChar w:fldCharType="end"/>
      </w:r>
      <w:bookmarkEnd w:id="0"/>
    </w:p>
    <w:p w14:paraId="2E60677E" w14:textId="77777777" w:rsidR="004F2B60" w:rsidRDefault="004F2B60">
      <w:pPr>
        <w:rPr>
          <w:rFonts w:ascii="Calibri" w:hAnsi="Calibri" w:cs="Tahoma"/>
          <w:spacing w:val="-3"/>
        </w:rPr>
      </w:pPr>
      <w:r>
        <w:rPr>
          <w:rFonts w:ascii="Calibri" w:hAnsi="Calibri" w:cs="Tahoma"/>
          <w:spacing w:val="-3"/>
        </w:rPr>
        <w:br w:type="page"/>
      </w:r>
    </w:p>
    <w:p w14:paraId="2E8E8E30"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1" w:name="_Toc232169008"/>
      <w:r w:rsidRPr="004F2B60">
        <w:rPr>
          <w:rFonts w:asciiTheme="minorHAnsi" w:hAnsiTheme="minorHAnsi" w:cstheme="minorHAnsi"/>
          <w:lang w:eastAsia="en-US"/>
        </w:rPr>
        <w:lastRenderedPageBreak/>
        <w:t>1 § Hautaustointa koskevat säännökset ja määräykset</w:t>
      </w:r>
      <w:bookmarkEnd w:id="1"/>
    </w:p>
    <w:p w14:paraId="2DF18AB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Sen lisäksi, mitä hautaustoimilaissa, kirkkolaissa, kirkkojärjestyksessä sekä muissa laeissa ja asetuksissa säädetään, on seurakunnan</w:t>
      </w:r>
      <w:r w:rsidRPr="004F2B60">
        <w:rPr>
          <w:rFonts w:asciiTheme="minorHAnsi" w:eastAsia="Calibri" w:hAnsiTheme="minorHAnsi" w:cstheme="minorHAnsi"/>
          <w:color w:val="FF0000"/>
          <w:lang w:eastAsia="en-US"/>
        </w:rPr>
        <w:t xml:space="preserve"> </w:t>
      </w:r>
      <w:r w:rsidRPr="004F2B60">
        <w:rPr>
          <w:rFonts w:asciiTheme="minorHAnsi" w:eastAsia="Calibri" w:hAnsiTheme="minorHAnsi" w:cstheme="minorHAnsi"/>
          <w:lang w:eastAsia="en-US"/>
        </w:rPr>
        <w:t>hautaustoimessa noudatettava tämän ohjesäännön määräyksiä.</w:t>
      </w:r>
    </w:p>
    <w:p w14:paraId="2663B965"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Päätösvallasta hautaustoimeen liittyvissä asioissa määrätään seurakuntayhtymän hallintosäännössä.</w:t>
      </w:r>
    </w:p>
    <w:bookmarkStart w:id="2" w:name="_Hlk132730247"/>
    <w:p w14:paraId="5ACC1787"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6529A43E" wp14:editId="098ED5AA">
                <wp:extent cx="5863590" cy="2855595"/>
                <wp:effectExtent l="13335" t="10160" r="9525" b="6985"/>
                <wp:docPr id="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640455"/>
                        </a:xfrm>
                        <a:prstGeom prst="rect">
                          <a:avLst/>
                        </a:prstGeom>
                        <a:solidFill>
                          <a:srgbClr val="FFFFFF"/>
                        </a:solidFill>
                        <a:ln w="9525">
                          <a:solidFill>
                            <a:srgbClr val="000000"/>
                          </a:solidFill>
                          <a:miter lim="800000"/>
                          <a:headEnd/>
                          <a:tailEnd/>
                        </a:ln>
                      </wps:spPr>
                      <wps:txbx>
                        <w:txbxContent>
                          <w:p w14:paraId="003E5CB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35 §</w:t>
                            </w:r>
                          </w:p>
                          <w:p w14:paraId="7377BEA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Hautaustoimen ohjesääntö, hautausmaakaava ja hautausmaan käyttösuunnitelma</w:t>
                            </w:r>
                          </w:p>
                          <w:p w14:paraId="53DB101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Kirkkovaltuusto hyväksyy hautaustoimen ohjesäännön, hautausmaakohtaisen hautausmaakaavan ja hautausmaan käyttösuunnitelman. Hautaustoimen ohjesäännössä määrätään:</w:t>
                            </w:r>
                          </w:p>
                          <w:p w14:paraId="160667AE"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1) haudoista; </w:t>
                            </w:r>
                          </w:p>
                          <w:p w14:paraId="0EC43FB4"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2) hautakirjanpidosta; </w:t>
                            </w:r>
                          </w:p>
                          <w:p w14:paraId="19CC866E"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3) haudan hoidolle asetetuista vaatimuksista;  </w:t>
                            </w:r>
                          </w:p>
                          <w:p w14:paraId="564DD99D"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4) hautamuistomerkkien hyväksymisestä; </w:t>
                            </w:r>
                          </w:p>
                          <w:p w14:paraId="03A249F5" w14:textId="77777777" w:rsidR="004F2B60" w:rsidRPr="004F2B60" w:rsidRDefault="004F2B60" w:rsidP="004F2B60">
                            <w:pPr>
                              <w:spacing w:before="40" w:after="120" w:line="288" w:lineRule="auto"/>
                              <w:rPr>
                                <w:rFonts w:asciiTheme="minorHAnsi" w:hAnsiTheme="minorHAnsi" w:cstheme="minorHAnsi"/>
                                <w:sz w:val="21"/>
                                <w:szCs w:val="21"/>
                              </w:rPr>
                            </w:pPr>
                            <w:r w:rsidRPr="004F2B60">
                              <w:rPr>
                                <w:rFonts w:asciiTheme="minorHAnsi" w:hAnsiTheme="minorHAnsi" w:cstheme="minorHAnsi"/>
                                <w:sz w:val="21"/>
                                <w:szCs w:val="21"/>
                              </w:rPr>
                              <w:t>5) hautausmaalla noudatettavasta järjestyksestä.</w:t>
                            </w:r>
                          </w:p>
                        </w:txbxContent>
                      </wps:txbx>
                      <wps:bodyPr rot="0" vert="horz" wrap="square" lIns="91440" tIns="45720" rIns="91440" bIns="45720" anchor="t" anchorCtr="0" upright="1">
                        <a:spAutoFit/>
                      </wps:bodyPr>
                    </wps:wsp>
                  </a:graphicData>
                </a:graphic>
              </wp:inline>
            </w:drawing>
          </mc:Choice>
          <mc:Fallback>
            <w:pict>
              <v:shapetype w14:anchorId="6529A43E" id="_x0000_t202" coordsize="21600,21600" o:spt="202" path="m,l,21600r21600,l21600,xe">
                <v:stroke joinstyle="miter"/>
                <v:path gradientshapeok="t" o:connecttype="rect"/>
              </v:shapetype>
              <v:shape id="Tekstiruutu 2" o:spid="_x0000_s102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A2bxFgIAACwEAAAOAAAAZHJzL2Uyb0RvYy54bWysU9uO2yAQfa/Uf0C8N3aycZpYcVbbbFNV 2l6kbT8AYxyjYqADiZ1+/Q7Yyaa3l6o8IIYZzsycOaxv+1aRowAnjS7odJJSIjQ3ldT7gn79snu1 pMR5piumjBYFPQlHbzcvX6w7m4uZaYyqBBAE0S7vbEEb722eJI43omVuYqzQ6KwNtMyjCfukAtYh equSWZouks5AZcFw4Rze3g9Ouon4dS24/1TXTniiCoq1+bhD3MuwJ5s1y/fAbCP5WAb7hypaJjUm vUDdM8/IAeRvUK3kYJyp/YSbNjF1LbmIPWA30/SXbh4bZkXsBclx9kKT+3+w/OPx0X4G4vs3pscB xiacfTD8myPabBum9+IOwHSNYBUmngbKks66fHwaqHa5CyBl98FUOGR28CYC9TW0gRXskyA6DuB0 IV30nnC8zJaLm2yFLo6+m8U8nWdZzMHy83MLzr8TpiXhUFDAqUZ4dnxwPpTD8nNIyOaMktVOKhUN 2JdbBeTIUAG7uEb0n8KUJl1BV9ksGxj4K0Qa158gWulRykq2BV1eglgeeHurqyg0z6Qazliy0iOR gbuBRd+XPQYGQktTnZBSMINk8YvhoTHwg5IO5VpQ9/3AQFCi3mscy2o6nwd9R2OevZ6hAdee8trD NEeognpKhuPWD3/iYEHuG8x0FsIdjnInI8nPVY11oyQj9+P3CZq/tmPU8yffPAEAAP//AwBQSwME FAAGAAgAAAAhANJG6WvdAAAABQEAAA8AAABkcnMvZG93bnJldi54bWxMj1FPwjAUhd9N+A/NJfFN OnGKzHWESHgW0IT41rWXdWG9HWsZw19v9UVfbnJyTs75br4YbMN67HztSMD9JAGGpJyuqRLw8b6+ ewbmgyQtG0co4IoeFsXoJpeZdhfaYr8LFYsl5DMpwITQZpx7ZdBKP3EtUvQOrrMyRNlVXHfyEstt w6dJ8sStrCkuGNniq0F13J2tAL/anFp12JRHo69fb6v+Ue3Xn0LcjoflC7CAQ/gLww9+RIciMpXu TNqzRkB8JPze6M2nDymwUkCazmfAi5z/py++AQAA//8DAFBLAQItABQABgAIAAAAIQC2gziS/gAA AOEBAAATAAAAAAAAAAAAAAAAAAAAAABbQ29udGVudF9UeXBlc10ueG1sUEsBAi0AFAAGAAgAAAAh ADj9If/WAAAAlAEAAAsAAAAAAAAAAAAAAAAALwEAAF9yZWxzLy5yZWxzUEsBAi0AFAAGAAgAAAAh AI4DZvEWAgAALAQAAA4AAAAAAAAAAAAAAAAALgIAAGRycy9lMm9Eb2MueG1sUEsBAi0AFAAGAAgA AAAhANJG6WvdAAAABQEAAA8AAAAAAAAAAAAAAAAAcAQAAGRycy9kb3ducmV2LnhtbFBLBQYAAAAA BAAEAPMAAAB6BQAAAAA= ">
                <v:textbox style="mso-fit-shape-to-text:t">
                  <w:txbxContent>
                    <w:p w14:paraId="003E5CB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35 §</w:t>
                      </w:r>
                    </w:p>
                    <w:p w14:paraId="7377BEA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Hautaustoimen ohjesääntö, hautausmaakaava ja hautausmaan käyttösuunnitelma</w:t>
                      </w:r>
                    </w:p>
                    <w:p w14:paraId="53DB101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Kirkkovaltuusto hyväksyy hautaustoimen ohjesäännön, hautausmaakohtaisen hautausmaakaavan ja hautausmaan käyttösuunnitelman. Hautaustoimen ohjesäännössä määrätään:</w:t>
                      </w:r>
                    </w:p>
                    <w:p w14:paraId="160667AE"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1) haudoista; </w:t>
                      </w:r>
                    </w:p>
                    <w:p w14:paraId="0EC43FB4"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2) hautakirjanpidosta; </w:t>
                      </w:r>
                    </w:p>
                    <w:p w14:paraId="19CC866E"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3) haudan hoidolle asetetuista vaatimuksista;  </w:t>
                      </w:r>
                    </w:p>
                    <w:p w14:paraId="564DD99D"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4) hautamuistomerkkien hyväksymisestä; </w:t>
                      </w:r>
                    </w:p>
                    <w:p w14:paraId="03A249F5" w14:textId="77777777" w:rsidR="004F2B60" w:rsidRPr="004F2B60" w:rsidRDefault="004F2B60" w:rsidP="004F2B60">
                      <w:pPr>
                        <w:spacing w:before="40" w:after="120" w:line="288" w:lineRule="auto"/>
                        <w:rPr>
                          <w:rFonts w:asciiTheme="minorHAnsi" w:hAnsiTheme="minorHAnsi" w:cstheme="minorHAnsi"/>
                          <w:sz w:val="21"/>
                          <w:szCs w:val="21"/>
                        </w:rPr>
                      </w:pPr>
                      <w:r w:rsidRPr="004F2B60">
                        <w:rPr>
                          <w:rFonts w:asciiTheme="minorHAnsi" w:hAnsiTheme="minorHAnsi" w:cstheme="minorHAnsi"/>
                          <w:sz w:val="21"/>
                          <w:szCs w:val="21"/>
                        </w:rPr>
                        <w:t>5) hautausmaalla noudatettavasta järjestyksestä.</w:t>
                      </w:r>
                    </w:p>
                  </w:txbxContent>
                </v:textbox>
                <w10:anchorlock/>
              </v:shape>
            </w:pict>
          </mc:Fallback>
        </mc:AlternateContent>
      </w:r>
      <w:bookmarkEnd w:id="2"/>
    </w:p>
    <w:p w14:paraId="62AF8CF4"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3" w:name="_Hlk523726975"/>
      <w:bookmarkStart w:id="4" w:name="_Hlk523726701"/>
      <w:bookmarkStart w:id="5" w:name="_Toc232169009"/>
      <w:r w:rsidRPr="004F2B60">
        <w:rPr>
          <w:rFonts w:asciiTheme="minorHAnsi" w:hAnsiTheme="minorHAnsi" w:cstheme="minorHAnsi"/>
          <w:lang w:eastAsia="en-US"/>
        </w:rPr>
        <w:t>2 § Hautausmaat ja tunnustuksettomat hauta-alueet</w:t>
      </w:r>
      <w:bookmarkEnd w:id="5"/>
    </w:p>
    <w:p w14:paraId="03BF509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Espoon seurakuntayhtymän hautausmaita ovat:</w:t>
      </w:r>
    </w:p>
    <w:p w14:paraId="5D83BCE5"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1) Kirkon hautausmaa </w:t>
      </w:r>
    </w:p>
    <w:p w14:paraId="21F289B1"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2) </w:t>
      </w:r>
      <w:bookmarkStart w:id="6" w:name="_Hlk523726583"/>
      <w:r w:rsidRPr="004F2B60">
        <w:rPr>
          <w:rFonts w:asciiTheme="minorHAnsi" w:eastAsia="Calibri" w:hAnsiTheme="minorHAnsi" w:cstheme="minorHAnsi"/>
          <w:lang w:eastAsia="en-US"/>
        </w:rPr>
        <w:t>Kappelin hautausmaa</w:t>
      </w:r>
    </w:p>
    <w:p w14:paraId="7098FF60"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3) Kellonummen hautausmaa</w:t>
      </w:r>
    </w:p>
    <w:p w14:paraId="3889E8EE"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4) </w:t>
      </w:r>
      <w:proofErr w:type="spellStart"/>
      <w:r w:rsidRPr="004F2B60">
        <w:rPr>
          <w:rFonts w:asciiTheme="minorHAnsi" w:eastAsia="Calibri" w:hAnsiTheme="minorHAnsi" w:cstheme="minorHAnsi"/>
          <w:lang w:eastAsia="en-US"/>
        </w:rPr>
        <w:t>Gräsan</w:t>
      </w:r>
      <w:proofErr w:type="spellEnd"/>
      <w:r w:rsidRPr="004F2B60">
        <w:rPr>
          <w:rFonts w:asciiTheme="minorHAnsi" w:eastAsia="Calibri" w:hAnsiTheme="minorHAnsi" w:cstheme="minorHAnsi"/>
          <w:lang w:eastAsia="en-US"/>
        </w:rPr>
        <w:t xml:space="preserve"> uurnalehto</w:t>
      </w:r>
    </w:p>
    <w:p w14:paraId="1DB9D16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5) Tapiolan uurnalehto </w:t>
      </w:r>
    </w:p>
    <w:p w14:paraId="7CA2EED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Seurakunta osoittaa pyynnöstä hautasijan erilliseltä tunnustuksettomalta hauta-alueelta, joka sijaitsee Kellonummen hautausmaalla.</w:t>
      </w:r>
      <w:r w:rsidRPr="004F2B60">
        <w:rPr>
          <w:rFonts w:asciiTheme="minorHAnsi" w:eastAsia="Calibri" w:hAnsiTheme="minorHAnsi" w:cstheme="minorHAnsi"/>
          <w:strike/>
          <w:lang w:eastAsia="en-US"/>
        </w:rPr>
        <w:t xml:space="preserve"> </w:t>
      </w:r>
      <w:bookmarkStart w:id="7" w:name="_Hlk13481568"/>
    </w:p>
    <w:bookmarkEnd w:id="7"/>
    <w:p w14:paraId="11B1EEE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47A786E4" wp14:editId="00EEB226">
                <wp:extent cx="5863590" cy="2855595"/>
                <wp:effectExtent l="7620" t="9525" r="5715" b="6985"/>
                <wp:docPr id="4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75CE147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3 §</w:t>
                            </w:r>
                          </w:p>
                          <w:p w14:paraId="7DF33F5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Velvollisuus ylläpitää yleisiä hautausmaita</w:t>
                            </w:r>
                          </w:p>
                          <w:p w14:paraId="77D0E17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Evankelis-luterilaisen kirkon seurakuntien tai seurakuntayhtymien tulee ylläpitää yleisiä hautausmaita. Hautausmaa voi olla useamman seurakunnan tai seurakuntayhtymän yhteinen.</w:t>
                            </w:r>
                          </w:p>
                        </w:txbxContent>
                      </wps:txbx>
                      <wps:bodyPr rot="0" vert="horz" wrap="square" lIns="91440" tIns="45720" rIns="91440" bIns="45720" anchor="t" anchorCtr="0" upright="1">
                        <a:spAutoFit/>
                      </wps:bodyPr>
                    </wps:wsp>
                  </a:graphicData>
                </a:graphic>
              </wp:inline>
            </w:drawing>
          </mc:Choice>
          <mc:Fallback>
            <w:pict>
              <v:shape w14:anchorId="47A786E4" id="_x0000_s102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hICGGQIAADMEAAAOAAAAZHJzL2Uyb0RvYy54bWysU81u2zAMvg/YOwi6L3bcpEuMOEWXLsOA 7gfo9gCyLNvCZFGTlNjd05eSnTTotsswHQRSpD6SH8nNzdApchTWSdAFnc9SSoTmUEndFPT7t/2b FSXOM10xBVoU9FE4erN9/WrTm1xk0IKqhCUIol3em4K23ps8SRxvRcfcDIzQaKzBdsyjapuksqxH 9E4lWZpeJz3Yyljgwjl8vRuNdBvx61pw/6WunfBEFRRz8/G28S7DnWw3LG8sM63kUxrsH7LomNQY 9Ax1xzwjByt/g+okt+Cg9jMOXQJ1LbmINWA18/RFNQ8tMyLWguQ4c6bJ/T9Y/vn4YL5a4od3MGAD YxHO3AP/4YiGXct0I26thb4VrMLA80BZ0huXT18D1S53AaTsP0GFTWYHDxFoqG0XWME6CaJjAx7P pIvBE46Py9X11XKNJo62qyzN1ovYloTlp+/GOv9BQEeCUFCLXY3w7HjvfEiH5SeXEM2BktVeKhUV 25Q7ZcmR4QTs44kVvHBTmvQFXS+z5cjAXyHSeP4E0UmPo6xkV9DV2Ynlgbf3uoqD5plUo4wpKz0R GbgbWfRDORBZTSwHXkuoHpFZC+Pk4qah0IL9RUmPU1tQ9/PArKBEfdTYnfV8gewRH5XF8m2Gir20 lJcWpjlCFdRTMoo7P67GwVjZtBjpNA+32NG9jFw/ZzWlj5MZWzBtURj9Sz16Pe/69gkAAP//AwBQ SwMEFAAGAAgAAAAhANJG6WvdAAAABQEAAA8AAABkcnMvZG93bnJldi54bWxMj1FPwjAUhd9N+A/N JfFNOnGKzHWESHgW0IT41rWXdWG9HWsZw19v9UVfbnJyTs75br4YbMN67HztSMD9JAGGpJyuqRLw 8b6+ewbmgyQtG0co4IoeFsXoJpeZdhfaYr8LFYsl5DMpwITQZpx7ZdBKP3EtUvQOrrMyRNlVXHfy Esttw6dJ8sStrCkuGNniq0F13J2tAL/anFp12JRHo69fb6v+Ue3Xn0LcjoflC7CAQ/gLww9+RIci MpXuTNqzRkB8JPze6M2nDymwUkCazmfAi5z/py++AQAA//8DAFBLAQItABQABgAIAAAAIQC2gziS /gAAAOEBAAATAAAAAAAAAAAAAAAAAAAAAABbQ29udGVudF9UeXBlc10ueG1sUEsBAi0AFAAGAAgA AAAhADj9If/WAAAAlAEAAAsAAAAAAAAAAAAAAAAALwEAAF9yZWxzLy5yZWxzUEsBAi0AFAAGAAgA AAAhAKmEgIYZAgAAMwQAAA4AAAAAAAAAAAAAAAAALgIAAGRycy9lMm9Eb2MueG1sUEsBAi0AFAAG AAgAAAAhANJG6WvdAAAABQEAAA8AAAAAAAAAAAAAAAAAcwQAAGRycy9kb3ducmV2LnhtbFBLBQYA AAAABAAEAPMAAAB9BQAAAAA= ">
                <v:textbox style="mso-fit-shape-to-text:t">
                  <w:txbxContent>
                    <w:p w14:paraId="75CE147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3 §</w:t>
                      </w:r>
                    </w:p>
                    <w:p w14:paraId="7DF33F5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Velvollisuus ylläpitää yleisiä hautausmaita</w:t>
                      </w:r>
                    </w:p>
                    <w:p w14:paraId="77D0E17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Evankelis-luterilaisen kirkon seurakuntien tai seurakuntayhtymien tulee ylläpitää yleisiä hautausmaita. Hautausmaa voi olla useamman seurakunnan tai seurakuntayhtymän yhteinen.</w:t>
                      </w:r>
                    </w:p>
                  </w:txbxContent>
                </v:textbox>
                <w10:anchorlock/>
              </v:shape>
            </w:pict>
          </mc:Fallback>
        </mc:AlternateContent>
      </w:r>
    </w:p>
    <w:p w14:paraId="7226AEF7"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6034FCB2" wp14:editId="6BCF2EE6">
                <wp:extent cx="5863590" cy="2855595"/>
                <wp:effectExtent l="7620" t="9525" r="5715" b="6985"/>
                <wp:docPr id="4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298C5476" w14:textId="338F781B"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Kirkkojärjestys 3 luku 55 § 1 </w:t>
                            </w:r>
                            <w:r w:rsidR="001B3D72" w:rsidRPr="004F2B60">
                              <w:rPr>
                                <w:rFonts w:asciiTheme="minorHAnsi" w:hAnsiTheme="minorHAnsi" w:cstheme="minorHAnsi"/>
                                <w:sz w:val="21"/>
                                <w:szCs w:val="21"/>
                              </w:rPr>
                              <w:t>mom.</w:t>
                            </w:r>
                          </w:p>
                          <w:p w14:paraId="079109F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 ja vainajien säilytystila</w:t>
                            </w:r>
                          </w:p>
                          <w:p w14:paraId="6236F23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Seurakunnalla tulee olla oma tai toisen seurakunnan tai seurakuntayhtymän kanssa yhteinen hautausmaa taikka oikeus käyttää muuta vihittyä hautausmaata. </w:t>
                            </w:r>
                          </w:p>
                        </w:txbxContent>
                      </wps:txbx>
                      <wps:bodyPr rot="0" vert="horz" wrap="square" lIns="91440" tIns="45720" rIns="91440" bIns="45720" anchor="t" anchorCtr="0" upright="1">
                        <a:spAutoFit/>
                      </wps:bodyPr>
                    </wps:wsp>
                  </a:graphicData>
                </a:graphic>
              </wp:inline>
            </w:drawing>
          </mc:Choice>
          <mc:Fallback>
            <w:pict>
              <v:shape w14:anchorId="6034FCB2" id="_x0000_s102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Ue5oGwIAADMEAAAOAAAAZHJzL2Uyb0RvYy54bWysU81u2zAMvg/YOwi6L07cpEuMOEWXLsOA 7gfo9gCKLMfCZFGjlNjd05eSkzTotsswHQRSpD6SH8nlTd8adlDoNdiST0ZjzpSVUGm7K/n3b5s3 c858ELYSBqwq+aPy/Gb1+tWyc4XKoQFTKWQEYn3RuZI3Ibgiy7xsVCv8CJyyZKwBWxFIxV1WoegI vTVZPh5fZx1g5RCk8p5e7wYjXyX8ulYyfKlrrwIzJafcQrox3dt4Z6ulKHYoXKPlMQ3xD1m0QlsK eoa6E0GwPerfoFotETzUYSShzaCutVSpBqpmMn5RzUMjnEq1EDnenWny/w9Wfj48uK/IQv8Oempg KsK7e5A/PLOwboTdqVtE6BolKgo8iZRlnfPF8Wuk2hc+gmy7T1BRk8U+QALqa2wjK1QnI3RqwOOZ dNUHJulxNr++mi3IJMl2lY/zxTS1JRPF6btDHz4oaFkUSo7U1QQvDvc+xHREcXKJ0TwYXW20MUnB 3XZtkB0ETcAmnVTBCzdjWVfyxSyfDQz8FWKczp8gWh1olI1uSz4/O4ki8vbeVmnQgtBmkCllY49E Ru4GFkO/7ZmuSp7HAJHXLVSPxCzCMLm0aSQ0gL8462hqS+5/7gUqzsxHS91ZTKbEHgtJmc7e5qTg pWV7aRFWElTJA2eDuA7Dauwd6l1DkU7zcEsd3ejE9XNWx/RpMlMLjlsUR/9ST17Pu756Ag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CFHuaBsCAAAzBAAADgAAAAAAAAAAAAAAAAAuAgAAZHJzL2Uyb0RvYy54bWxQSwECLQAU AAYACAAAACEA0kbpa90AAAAFAQAADwAAAAAAAAAAAAAAAAB1BAAAZHJzL2Rvd25yZXYueG1sUEsF BgAAAAAEAAQA8wAAAH8FAAAAAA== ">
                <v:textbox style="mso-fit-shape-to-text:t">
                  <w:txbxContent>
                    <w:p w14:paraId="298C5476" w14:textId="338F781B"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Kirkkojärjestys 3 luku 55 § 1 </w:t>
                      </w:r>
                      <w:r w:rsidR="001B3D72" w:rsidRPr="004F2B60">
                        <w:rPr>
                          <w:rFonts w:asciiTheme="minorHAnsi" w:hAnsiTheme="minorHAnsi" w:cstheme="minorHAnsi"/>
                          <w:sz w:val="21"/>
                          <w:szCs w:val="21"/>
                        </w:rPr>
                        <w:t>mom.</w:t>
                      </w:r>
                    </w:p>
                    <w:p w14:paraId="079109F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 ja vainajien säilytystila</w:t>
                      </w:r>
                    </w:p>
                    <w:p w14:paraId="6236F23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Seurakunnalla tulee olla oma tai toisen seurakunnan tai seurakuntayhtymän kanssa yhteinen hautausmaa taikka oikeus käyttää muuta vihittyä hautausmaata. </w:t>
                      </w:r>
                    </w:p>
                  </w:txbxContent>
                </v:textbox>
                <w10:anchorlock/>
              </v:shape>
            </w:pict>
          </mc:Fallback>
        </mc:AlternateContent>
      </w:r>
    </w:p>
    <w:p w14:paraId="5113298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06472AFD" wp14:editId="7348E215">
                <wp:extent cx="5863590" cy="2855595"/>
                <wp:effectExtent l="7620" t="12065" r="5715" b="12700"/>
                <wp:docPr id="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9174BA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5 §</w:t>
                            </w:r>
                          </w:p>
                          <w:p w14:paraId="1DBD60E4"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Tunnustukseton hauta-alue</w:t>
                            </w:r>
                          </w:p>
                          <w:p w14:paraId="053AD8E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Hautasija on pyynnöstä osoitettava erilliseltä tunnustuksettomalta hauta-alueelta, joka ei saa sijaita kohtuuttoman kaukana seurakunnan tai seurakuntayhtymän alueesta.</w:t>
                            </w:r>
                          </w:p>
                          <w:p w14:paraId="3D9FFA1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Tunnustukseton hauta-alue on erillinen hautausmaa tai muusta hautausmaasta selvästi erottuvalla tavalla rajattu hautausmaan osa.</w:t>
                            </w:r>
                          </w:p>
                        </w:txbxContent>
                      </wps:txbx>
                      <wps:bodyPr rot="0" vert="horz" wrap="square" lIns="91440" tIns="45720" rIns="91440" bIns="45720" anchor="t" anchorCtr="0" upright="1">
                        <a:spAutoFit/>
                      </wps:bodyPr>
                    </wps:wsp>
                  </a:graphicData>
                </a:graphic>
              </wp:inline>
            </w:drawing>
          </mc:Choice>
          <mc:Fallback>
            <w:pict>
              <v:shape w14:anchorId="06472AFD" id="_x0000_s102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ykIoGw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EQA0ReN1AdiFmEQbk0aXRoAH9y1pFqS+5/7AQqzswHS91ZjCaTKPNkTKY3YzLw 0rO59AgrCarkgbPheB+G0dg51NuGIp30cEcdXevE9XNWx/RJmakFxymK0r+006vnWV/9Ag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UcpCKBsCAAAzBAAADgAAAAAAAAAAAAAAAAAuAgAAZHJzL2Uyb0RvYy54bWxQSwECLQAU AAYACAAAACEA0kbpa90AAAAFAQAADwAAAAAAAAAAAAAAAAB1BAAAZHJzL2Rvd25yZXYueG1sUEsF BgAAAAAEAAQA8wAAAH8FAAAAAA== ">
                <v:textbox style="mso-fit-shape-to-text:t">
                  <w:txbxContent>
                    <w:p w14:paraId="49174BA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5 §</w:t>
                      </w:r>
                    </w:p>
                    <w:p w14:paraId="1DBD60E4"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Tunnustukseton hauta-alue</w:t>
                      </w:r>
                    </w:p>
                    <w:p w14:paraId="053AD8E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Hautasija on pyynnöstä osoitettava erilliseltä tunnustuksettomalta hauta-alueelta, joka ei saa sijaita kohtuuttoman kaukana seurakunnan tai seurakuntayhtymän alueesta.</w:t>
                      </w:r>
                    </w:p>
                    <w:p w14:paraId="3D9FFA1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Tunnustukseton hauta-alue on erillinen hautausmaa tai muusta hautausmaasta selvästi erottuvalla tavalla rajattu hautausmaan osa.</w:t>
                      </w:r>
                    </w:p>
                  </w:txbxContent>
                </v:textbox>
                <w10:anchorlock/>
              </v:shape>
            </w:pict>
          </mc:Fallback>
        </mc:AlternateContent>
      </w:r>
    </w:p>
    <w:p w14:paraId="672CD3D1"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4E1625FB" wp14:editId="42BBECD1">
                <wp:extent cx="5863590" cy="2855595"/>
                <wp:effectExtent l="7620" t="12065" r="5715" b="12700"/>
                <wp:docPr id="4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A1D1B1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56 §</w:t>
                            </w:r>
                          </w:p>
                          <w:p w14:paraId="79A5B65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vihkiminen</w:t>
                            </w:r>
                          </w:p>
                          <w:p w14:paraId="6552330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Hautausmaa ja siunauskappeli on vihittävä ennen kuin niitä ryhdytään käyttämään. Hautaustoimilaissa (457/2003) tarkoitettua tunnustuksetonta hauta-aluetta ei kuitenkaan vihitä. </w:t>
                            </w:r>
                          </w:p>
                        </w:txbxContent>
                      </wps:txbx>
                      <wps:bodyPr rot="0" vert="horz" wrap="square" lIns="91440" tIns="45720" rIns="91440" bIns="45720" anchor="t" anchorCtr="0" upright="1">
                        <a:spAutoFit/>
                      </wps:bodyPr>
                    </wps:wsp>
                  </a:graphicData>
                </a:graphic>
              </wp:inline>
            </w:drawing>
          </mc:Choice>
          <mc:Fallback>
            <w:pict>
              <v:shape w14:anchorId="4E1625FB" id="_x0000_s103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KRvDHAIAADM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TTGCDyuoXqSMwiDMqlSaNDA/iTs45UW3L/Yy9QcWY+WOrOzXg6jTJPxnR2PSED Lz3bS4+wkqBKHjgbjuswjMbeod41FOlJD3fU0Y1OXD9ndUqflJlacJqiKP1LO716nvXVL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PIpG8McAgAAMwQAAA4AAAAAAAAAAAAAAAAALgIAAGRycy9lMm9Eb2MueG1sUEsBAi0A FAAGAAgAAAAhANJG6WvdAAAABQEAAA8AAAAAAAAAAAAAAAAAdgQAAGRycy9kb3ducmV2LnhtbFBL BQYAAAAABAAEAPMAAACABQAAAAA= ">
                <v:textbox style="mso-fit-shape-to-text:t">
                  <w:txbxContent>
                    <w:p w14:paraId="6A1D1B1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56 §</w:t>
                      </w:r>
                    </w:p>
                    <w:p w14:paraId="79A5B65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vihkiminen</w:t>
                      </w:r>
                    </w:p>
                    <w:p w14:paraId="6552330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Hautausmaa ja siunauskappeli on vihittävä ennen kuin niitä ryhdytään käyttämään. Hautaustoimilaissa (457/2003) tarkoitettua tunnustuksetonta hauta-aluetta ei kuitenkaan vihitä. </w:t>
                      </w:r>
                    </w:p>
                  </w:txbxContent>
                </v:textbox>
                <w10:anchorlock/>
              </v:shape>
            </w:pict>
          </mc:Fallback>
        </mc:AlternateContent>
      </w:r>
    </w:p>
    <w:p w14:paraId="3DC6E679"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8" w:name="_Toc232169010"/>
      <w:r w:rsidRPr="004F2B60">
        <w:rPr>
          <w:rFonts w:asciiTheme="minorHAnsi" w:hAnsiTheme="minorHAnsi" w:cstheme="minorHAnsi"/>
          <w:lang w:eastAsia="en-US"/>
        </w:rPr>
        <w:t>3 § Hautausmaan käytön ohjaus ja suunnittelu</w:t>
      </w:r>
      <w:bookmarkEnd w:id="8"/>
    </w:p>
    <w:bookmarkEnd w:id="6"/>
    <w:p w14:paraId="128478DE" w14:textId="77777777" w:rsidR="004F2B60" w:rsidRPr="004F2B60" w:rsidRDefault="004F2B60" w:rsidP="004F2B60">
      <w:pPr>
        <w:spacing w:before="120" w:after="120" w:line="288" w:lineRule="auto"/>
        <w:rPr>
          <w:rFonts w:asciiTheme="minorHAnsi" w:eastAsia="Calibri" w:hAnsiTheme="minorHAnsi" w:cstheme="minorHAnsi"/>
          <w:color w:val="000000"/>
          <w:lang w:eastAsia="en-US"/>
        </w:rPr>
      </w:pPr>
      <w:r w:rsidRPr="004F2B60">
        <w:rPr>
          <w:rFonts w:asciiTheme="minorHAnsi" w:eastAsia="Calibri" w:hAnsiTheme="minorHAnsi" w:cstheme="minorHAnsi"/>
          <w:lang w:eastAsia="en-US"/>
        </w:rPr>
        <w:t xml:space="preserve">Hautausmaan käytössä noudatettavasta hautausmaakaavasta, hautausmaan käyttösuunnitelmasta ja hautakartasta sekä hautausmaan </w:t>
      </w:r>
      <w:r w:rsidRPr="004F2B60">
        <w:rPr>
          <w:rFonts w:asciiTheme="minorHAnsi" w:eastAsia="Calibri" w:hAnsiTheme="minorHAnsi" w:cstheme="minorHAnsi"/>
          <w:color w:val="000000"/>
          <w:lang w:eastAsia="en-US"/>
        </w:rPr>
        <w:t>ylläpidossa ja hoidossa noudatettavasta hautausmaan hoitosuunnitelmasta säädetään kirkkojärjestyksen 3 luvun 57–59 §:</w:t>
      </w:r>
      <w:proofErr w:type="spellStart"/>
      <w:r w:rsidRPr="004F2B60">
        <w:rPr>
          <w:rFonts w:asciiTheme="minorHAnsi" w:eastAsia="Calibri" w:hAnsiTheme="minorHAnsi" w:cstheme="minorHAnsi"/>
          <w:color w:val="000000"/>
          <w:lang w:eastAsia="en-US"/>
        </w:rPr>
        <w:t>ssä</w:t>
      </w:r>
      <w:proofErr w:type="spellEnd"/>
      <w:r w:rsidRPr="004F2B60">
        <w:rPr>
          <w:rFonts w:asciiTheme="minorHAnsi" w:eastAsia="Calibri" w:hAnsiTheme="minorHAnsi" w:cstheme="minorHAnsi"/>
          <w:color w:val="000000"/>
          <w:lang w:eastAsia="en-US"/>
        </w:rPr>
        <w:t>.</w:t>
      </w:r>
    </w:p>
    <w:p w14:paraId="7F1D8601" w14:textId="77777777" w:rsidR="004F2B60" w:rsidRPr="004F2B60" w:rsidRDefault="004F2B60" w:rsidP="004F2B60">
      <w:pPr>
        <w:spacing w:before="120" w:after="120" w:line="288" w:lineRule="auto"/>
        <w:rPr>
          <w:rFonts w:asciiTheme="minorHAnsi" w:eastAsia="Calibri" w:hAnsiTheme="minorHAnsi" w:cstheme="minorHAnsi"/>
          <w:color w:val="000000"/>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3E78F793" wp14:editId="41BEA096">
                <wp:extent cx="5863590" cy="2855595"/>
                <wp:effectExtent l="7620" t="12065" r="5715" b="12700"/>
                <wp:docPr id="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43B876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57 §</w:t>
                            </w:r>
                          </w:p>
                          <w:p w14:paraId="1AC5579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Hautausmaakaava ja hautausmaan käyttösuunnitelma</w:t>
                            </w:r>
                          </w:p>
                          <w:p w14:paraId="1FBE6DB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Hautausmaalle on laadittava hautausmaakaava ja käyttösuunnitelma. </w:t>
                            </w:r>
                          </w:p>
                          <w:p w14:paraId="6784A76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Hautausmaakaava on yleiskartta, jota laadittaessa on otettava huomioon varatun alueen maaston luonne, maisemalliset arvot ja seurakunnan taloudellinen kantokyky. Hautausmaakaavaan sisältyy:</w:t>
                            </w:r>
                          </w:p>
                          <w:p w14:paraId="67160529"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1)  hautausmaan rajat;</w:t>
                            </w:r>
                          </w:p>
                          <w:p w14:paraId="52D0D654"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2)  hauta-alueiden ja rakennusten sijainti; </w:t>
                            </w:r>
                          </w:p>
                          <w:p w14:paraId="30BB2597"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3)  liikenteen järjestelyt ja käytävien sijainti;</w:t>
                            </w:r>
                          </w:p>
                          <w:p w14:paraId="169DD9DD"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4)  hauta-alueiden jako;</w:t>
                            </w:r>
                          </w:p>
                          <w:p w14:paraId="40BBBC1E"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5)  hautausmaa-alueen kuivatus- ja vesihuoltosuunnitelma sekä jätehuollon järjestelyt.</w:t>
                            </w:r>
                          </w:p>
                          <w:p w14:paraId="7D2C93A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käyttösuunnitelmassa on otettava huomioon hautausmaan eri aikoina perustettujen osien ominaispiirteet ja kulttuurihistorialliset arvot. Käyttösuunnitelmaan sisältyy:</w:t>
                            </w:r>
                          </w:p>
                          <w:p w14:paraId="322955D2"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1)  hautausmaakaavan sanallinen selitys;</w:t>
                            </w:r>
                          </w:p>
                          <w:p w14:paraId="76CE1F58"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2)  määräykset hautausmaan tai sen osan käytöstä yhteen tai useampaan hautaussyvyyteen;</w:t>
                            </w:r>
                          </w:p>
                          <w:p w14:paraId="5C956CCD"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3)  määräykset hautaosastojen käyttöönottojärjestyksestä;</w:t>
                            </w:r>
                          </w:p>
                          <w:p w14:paraId="6B7BDBCC"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4)  hautausmaan käytön rajoitukset.</w:t>
                            </w:r>
                          </w:p>
                        </w:txbxContent>
                      </wps:txbx>
                      <wps:bodyPr rot="0" vert="horz" wrap="square" lIns="91440" tIns="45720" rIns="91440" bIns="45720" anchor="t" anchorCtr="0" upright="1">
                        <a:spAutoFit/>
                      </wps:bodyPr>
                    </wps:wsp>
                  </a:graphicData>
                </a:graphic>
              </wp:inline>
            </w:drawing>
          </mc:Choice>
          <mc:Fallback>
            <w:pict>
              <v:shape w14:anchorId="3E78F793" id="_x0000_s103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Z+4vGw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ZESA0ReN1AdiFmEQbk0aXRoAH9y1pFqS+5/7AQqzswHS91ZjCaTKPNkTKY3YzLw 0rO59AgrCarkgbPheB+G0dg51NuGIp30cEcdXevE9XNWx/RJmakFxymK0r+006vnWV/9Ag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UmfuLxsCAAAzBAAADgAAAAAAAAAAAAAAAAAuAgAAZHJzL2Uyb0RvYy54bWxQSwECLQAU AAYACAAAACEA0kbpa90AAAAFAQAADwAAAAAAAAAAAAAAAAB1BAAAZHJzL2Rvd25yZXYueG1sUEsF BgAAAAAEAAQA8wAAAH8FAAAAAA== ">
                <v:textbox style="mso-fit-shape-to-text:t">
                  <w:txbxContent>
                    <w:p w14:paraId="243B876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57 §</w:t>
                      </w:r>
                    </w:p>
                    <w:p w14:paraId="1AC5579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Hautausmaakaava ja hautausmaan käyttösuunnitelma</w:t>
                      </w:r>
                    </w:p>
                    <w:p w14:paraId="1FBE6DB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Hautausmaalle on laadittava hautausmaakaava ja käyttösuunnitelma. </w:t>
                      </w:r>
                    </w:p>
                    <w:p w14:paraId="6784A76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Hautausmaakaava on yleiskartta, jota laadittaessa on otettava huomioon varatun alueen maaston luonne, maisemalliset arvot ja seurakunnan taloudellinen kantokyky. Hautausmaakaavaan sisältyy:</w:t>
                      </w:r>
                    </w:p>
                    <w:p w14:paraId="67160529"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1)  hautausmaan rajat;</w:t>
                      </w:r>
                    </w:p>
                    <w:p w14:paraId="52D0D654"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 xml:space="preserve">2)  hauta-alueiden ja rakennusten sijainti; </w:t>
                      </w:r>
                    </w:p>
                    <w:p w14:paraId="30BB2597"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3)  liikenteen järjestelyt ja käytävien sijainti;</w:t>
                      </w:r>
                    </w:p>
                    <w:p w14:paraId="169DD9DD"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4)  hauta-alueiden jako;</w:t>
                      </w:r>
                    </w:p>
                    <w:p w14:paraId="40BBBC1E"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5)  hautausmaa-alueen kuivatus- ja vesihuoltosuunnitelma sekä jätehuollon järjestelyt.</w:t>
                      </w:r>
                    </w:p>
                    <w:p w14:paraId="7D2C93A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käyttösuunnitelmassa on otettava huomioon hautausmaan eri aikoina perustettujen osien ominaispiirteet ja kulttuurihistorialliset arvot. Käyttösuunnitelmaan sisältyy:</w:t>
                      </w:r>
                    </w:p>
                    <w:p w14:paraId="322955D2"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1)  hautausmaakaavan sanallinen selitys;</w:t>
                      </w:r>
                    </w:p>
                    <w:p w14:paraId="76CE1F58"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2)  määräykset hautausmaan tai sen osan käytöstä yhteen tai useampaan hautaussyvyyteen;</w:t>
                      </w:r>
                    </w:p>
                    <w:p w14:paraId="5C956CCD"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3)  määräykset hautaosastojen käyttöönottojärjestyksestä;</w:t>
                      </w:r>
                    </w:p>
                    <w:p w14:paraId="6B7BDBCC"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4)  hautausmaan käytön rajoitukset.</w:t>
                      </w:r>
                    </w:p>
                  </w:txbxContent>
                </v:textbox>
                <w10:anchorlock/>
              </v:shape>
            </w:pict>
          </mc:Fallback>
        </mc:AlternateContent>
      </w:r>
    </w:p>
    <w:p w14:paraId="2AAADEC2" w14:textId="77777777" w:rsidR="004F2B60" w:rsidRPr="004F2B60" w:rsidRDefault="004F2B60" w:rsidP="004F2B60">
      <w:pPr>
        <w:spacing w:before="120" w:after="120" w:line="288" w:lineRule="auto"/>
        <w:rPr>
          <w:rFonts w:asciiTheme="minorHAnsi" w:eastAsia="Calibri" w:hAnsiTheme="minorHAnsi" w:cstheme="minorHAnsi"/>
          <w:color w:val="000000"/>
          <w:lang w:eastAsia="en-US"/>
        </w:rPr>
      </w:pPr>
      <w:r w:rsidRPr="004F2B60">
        <w:rPr>
          <w:rFonts w:asciiTheme="minorHAnsi" w:eastAsia="Calibri" w:hAnsiTheme="minorHAnsi" w:cstheme="minorHAnsi"/>
          <w:noProof/>
          <w:lang w:eastAsia="en-US"/>
        </w:rPr>
        <mc:AlternateContent>
          <mc:Choice Requires="wps">
            <w:drawing>
              <wp:inline distT="0" distB="0" distL="0" distR="0" wp14:anchorId="492380B2" wp14:editId="720CFD36">
                <wp:extent cx="5863590" cy="2855595"/>
                <wp:effectExtent l="7620" t="12065" r="5715" b="12700"/>
                <wp:docPr id="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88D0E2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58 §</w:t>
                            </w:r>
                          </w:p>
                          <w:p w14:paraId="4664E76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hoitosuunnitelma</w:t>
                            </w:r>
                          </w:p>
                          <w:p w14:paraId="280E303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Hautausmaalle on laadittava hoitosuunnitelma, jossa määritellään seurakunnalle kuuluva hautausmaan perushoito ja esitetään hautausmaan vuosittaiset hoitotoimenpiteet sekä pidemmällä aikavälillä toteutettavat kunnostustyöt.</w:t>
                            </w:r>
                          </w:p>
                        </w:txbxContent>
                      </wps:txbx>
                      <wps:bodyPr rot="0" vert="horz" wrap="square" lIns="91440" tIns="45720" rIns="91440" bIns="45720" anchor="t" anchorCtr="0" upright="1">
                        <a:spAutoFit/>
                      </wps:bodyPr>
                    </wps:wsp>
                  </a:graphicData>
                </a:graphic>
              </wp:inline>
            </w:drawing>
          </mc:Choice>
          <mc:Fallback>
            <w:pict>
              <v:shape w14:anchorId="492380B2" id="_x0000_s103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soDBHAIAADM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TzGCDyuoXqSMwiDMqlSaNDA/iTs45UW3L/Yy9QcWY+WOrOzXg6jTJPxnR2PSED Lz3bS4+wkqBKHjgbjuswjMbeod41FOlJD3fU0Y1OXD9ndUqflJlacJqiKP1LO716nvXVL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POygMEcAgAAMwQAAA4AAAAAAAAAAAAAAAAALgIAAGRycy9lMm9Eb2MueG1sUEsBAi0A FAAGAAgAAAAhANJG6WvdAAAABQEAAA8AAAAAAAAAAAAAAAAAdgQAAGRycy9kb3ducmV2LnhtbFBL BQYAAAAABAAEAPMAAACABQAAAAA= ">
                <v:textbox style="mso-fit-shape-to-text:t">
                  <w:txbxContent>
                    <w:p w14:paraId="288D0E2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58 §</w:t>
                      </w:r>
                    </w:p>
                    <w:p w14:paraId="4664E76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hoitosuunnitelma</w:t>
                      </w:r>
                    </w:p>
                    <w:p w14:paraId="280E303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Hautausmaalle on laadittava hoitosuunnitelma, jossa määritellään seurakunnalle kuuluva hautausmaan perushoito ja esitetään hautausmaan vuosittaiset hoitotoimenpiteet sekä pidemmällä aikavälillä toteutettavat kunnostustyöt.</w:t>
                      </w:r>
                    </w:p>
                  </w:txbxContent>
                </v:textbox>
                <w10:anchorlock/>
              </v:shape>
            </w:pict>
          </mc:Fallback>
        </mc:AlternateContent>
      </w:r>
    </w:p>
    <w:p w14:paraId="78307ED5" w14:textId="77777777" w:rsidR="004F2B60" w:rsidRPr="004F2B60" w:rsidRDefault="004F2B60" w:rsidP="004F2B60">
      <w:pPr>
        <w:spacing w:before="120" w:after="120" w:line="288" w:lineRule="auto"/>
        <w:rPr>
          <w:rFonts w:asciiTheme="minorHAnsi" w:eastAsia="Calibri" w:hAnsiTheme="minorHAnsi" w:cstheme="minorHAnsi"/>
          <w:color w:val="000000"/>
          <w:lang w:eastAsia="en-US"/>
        </w:rPr>
      </w:pPr>
      <w:r w:rsidRPr="004F2B60">
        <w:rPr>
          <w:rFonts w:asciiTheme="minorHAnsi" w:eastAsia="Calibri" w:hAnsiTheme="minorHAnsi" w:cstheme="minorHAnsi"/>
          <w:noProof/>
          <w:lang w:eastAsia="en-US"/>
        </w:rPr>
        <mc:AlternateContent>
          <mc:Choice Requires="wps">
            <w:drawing>
              <wp:inline distT="0" distB="0" distL="0" distR="0" wp14:anchorId="775AE492" wp14:editId="74FF9ADD">
                <wp:extent cx="5863590" cy="2855595"/>
                <wp:effectExtent l="7620" t="12065" r="5715" b="12700"/>
                <wp:docPr id="4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9F3F89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59 §</w:t>
                            </w:r>
                          </w:p>
                          <w:p w14:paraId="2F94E5F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Hautakartta</w:t>
                            </w:r>
                          </w:p>
                          <w:p w14:paraId="7E4618A7" w14:textId="77777777" w:rsidR="004F2B60" w:rsidRPr="00721BE3" w:rsidRDefault="004F2B60" w:rsidP="004F2B60">
                            <w:pPr>
                              <w:spacing w:before="120" w:after="120" w:line="288" w:lineRule="auto"/>
                              <w:rPr>
                                <w:sz w:val="21"/>
                                <w:szCs w:val="21"/>
                              </w:rPr>
                            </w:pPr>
                            <w:r w:rsidRPr="004F2B60">
                              <w:rPr>
                                <w:rFonts w:asciiTheme="minorHAnsi" w:hAnsiTheme="minorHAnsi" w:cstheme="minorHAnsi"/>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r w:rsidRPr="00721BE3">
                              <w:rPr>
                                <w:sz w:val="21"/>
                                <w:szCs w:val="21"/>
                              </w:rPr>
                              <w:t xml:space="preserve"> </w:t>
                            </w:r>
                          </w:p>
                        </w:txbxContent>
                      </wps:txbx>
                      <wps:bodyPr rot="0" vert="horz" wrap="square" lIns="91440" tIns="45720" rIns="91440" bIns="45720" anchor="t" anchorCtr="0" upright="1">
                        <a:spAutoFit/>
                      </wps:bodyPr>
                    </wps:wsp>
                  </a:graphicData>
                </a:graphic>
              </wp:inline>
            </w:drawing>
          </mc:Choice>
          <mc:Fallback>
            <w:pict>
              <v:shape w14:anchorId="775AE492" id="_x0000_s103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HUtHA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clvYoDI6waqAzGLMCiXJo0ODeBPzjpSbcn9j51AxZn5YKk7i9FkEmWejMn0ZkwG Xno2lx5hJUGVPHA2HO/DMBo7h3rbUKSTHu6oo2uduH7O6pg+KTO14DhFUfqXdnr1POur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FP8dS0cAgAAMwQAAA4AAAAAAAAAAAAAAAAALgIAAGRycy9lMm9Eb2MueG1sUEsBAi0A FAAGAAgAAAAhANJG6WvdAAAABQEAAA8AAAAAAAAAAAAAAAAAdgQAAGRycy9kb3ducmV2LnhtbFBL BQYAAAAABAAEAPMAAACABQAAAAA= ">
                <v:textbox style="mso-fit-shape-to-text:t">
                  <w:txbxContent>
                    <w:p w14:paraId="49F3F89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59 §</w:t>
                      </w:r>
                    </w:p>
                    <w:p w14:paraId="2F94E5F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Hautakartta</w:t>
                      </w:r>
                    </w:p>
                    <w:p w14:paraId="7E4618A7" w14:textId="77777777" w:rsidR="004F2B60" w:rsidRPr="00721BE3" w:rsidRDefault="004F2B60" w:rsidP="004F2B60">
                      <w:pPr>
                        <w:spacing w:before="120" w:after="120" w:line="288" w:lineRule="auto"/>
                        <w:rPr>
                          <w:sz w:val="21"/>
                          <w:szCs w:val="21"/>
                        </w:rPr>
                      </w:pPr>
                      <w:r w:rsidRPr="004F2B60">
                        <w:rPr>
                          <w:rFonts w:asciiTheme="minorHAnsi" w:hAnsiTheme="minorHAnsi" w:cstheme="minorHAnsi"/>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r w:rsidRPr="00721BE3">
                        <w:rPr>
                          <w:sz w:val="21"/>
                          <w:szCs w:val="21"/>
                        </w:rPr>
                        <w:t xml:space="preserve"> </w:t>
                      </w:r>
                    </w:p>
                  </w:txbxContent>
                </v:textbox>
                <w10:anchorlock/>
              </v:shape>
            </w:pict>
          </mc:Fallback>
        </mc:AlternateContent>
      </w:r>
    </w:p>
    <w:p w14:paraId="777EA0B8"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9" w:name="_Toc232169011"/>
      <w:r w:rsidRPr="004F2B60">
        <w:rPr>
          <w:rFonts w:asciiTheme="minorHAnsi" w:hAnsiTheme="minorHAnsi" w:cstheme="minorHAnsi"/>
          <w:lang w:eastAsia="en-US"/>
        </w:rPr>
        <w:t>4 § Hauta</w:t>
      </w:r>
      <w:bookmarkEnd w:id="9"/>
    </w:p>
    <w:p w14:paraId="4FE8B00C"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Hauta on yhden tai useamman vainajan hautaamista varten varattu maa-alue hautausmaalla. Hauta sisältää yhden tai useamman vierekkäisen hautapaikan ja kukin hautapaikka yhden tai useamman päällekkäisen hautasijan. </w:t>
      </w:r>
    </w:p>
    <w:p w14:paraId="2CB6AA48" w14:textId="77777777" w:rsidR="004F2B60" w:rsidRPr="004F2B60" w:rsidRDefault="004F2B60" w:rsidP="004F2B60">
      <w:pPr>
        <w:spacing w:before="120" w:after="120" w:line="288" w:lineRule="auto"/>
        <w:rPr>
          <w:rFonts w:asciiTheme="minorHAnsi" w:eastAsia="Calibri" w:hAnsiTheme="minorHAnsi" w:cstheme="minorHAnsi"/>
          <w:color w:val="FF0000"/>
          <w:lang w:eastAsia="en-US"/>
        </w:rPr>
      </w:pPr>
      <w:r w:rsidRPr="004F2B60">
        <w:rPr>
          <w:rFonts w:asciiTheme="minorHAnsi" w:eastAsia="Calibri" w:hAnsiTheme="minorHAnsi" w:cstheme="minorHAnsi"/>
          <w:lang w:eastAsia="en-US"/>
        </w:rPr>
        <w:t xml:space="preserve">Jos hautausmaa tai sen osa on käyttösuunnitelmassa osoitettu kerros- eli syvähautaukseen ja maan laatu sen sallii, voidaan hautaan haudata kaksi tai useampia arkkuja päällekkäin. Tällöin </w:t>
      </w:r>
      <w:r w:rsidRPr="004F2B60">
        <w:rPr>
          <w:rFonts w:asciiTheme="minorHAnsi" w:eastAsia="Calibri" w:hAnsiTheme="minorHAnsi" w:cstheme="minorHAnsi"/>
          <w:lang w:eastAsia="en-US"/>
        </w:rPr>
        <w:lastRenderedPageBreak/>
        <w:t xml:space="preserve">arkkuhaudan terveydensuojeluasetuksen mukaiseen vähimmäissyvyyteen lisätään 0,6 metriä arkkua kohden. Samaa arkku-hautasijaa saa käyttää aikaisintaan 20 vuoden kuluttua edellisestä hautaamisesta (koskemattomuusaika). </w:t>
      </w:r>
    </w:p>
    <w:p w14:paraId="76AF518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Uurnahaudan vähimmäissyvyys on 0,6 metriä. Tämä ei kuitenkaan koske ilman uurnaa haudattavaa tuhkaa. Arkkuhautasijaa voidaan käyttää uurnahautaukseen siten, että asiasta tehdään merkintä hautakirjanpitoon. Uurnia voidaan haudata päällekkäin tilan salliessa. Uurnahaudalla ei ole koskemattomuusaikaa. </w:t>
      </w:r>
    </w:p>
    <w:p w14:paraId="3ED7FC9D"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Muistolehdossa ja arkkulehdossa ei ole näkyvästi merkittyjä hautasijoja, arkkulehdossa hautasijat kirjataan hautarekisteriin hautakartan mukaisesti. </w:t>
      </w:r>
      <w:r w:rsidRPr="004F2B60">
        <w:rPr>
          <w:rFonts w:asciiTheme="minorHAnsi" w:eastAsia="Calibri" w:hAnsiTheme="minorHAnsi" w:cstheme="minorHAnsi"/>
          <w:color w:val="000000" w:themeColor="text1"/>
          <w:lang w:eastAsia="en-US"/>
        </w:rPr>
        <w:t>Tuhkan sijaintia ei merkitä hautarekisteriin</w:t>
      </w:r>
      <w:r w:rsidRPr="004F2B60">
        <w:rPr>
          <w:rFonts w:asciiTheme="minorHAnsi" w:eastAsia="Calibri" w:hAnsiTheme="minorHAnsi" w:cstheme="minorHAnsi"/>
          <w:color w:val="00B050"/>
          <w:lang w:eastAsia="en-US"/>
        </w:rPr>
        <w:t>.</w:t>
      </w:r>
      <w:r w:rsidRPr="004F2B60">
        <w:rPr>
          <w:rFonts w:asciiTheme="minorHAnsi" w:eastAsia="Calibri" w:hAnsiTheme="minorHAnsi" w:cstheme="minorHAnsi"/>
          <w:lang w:eastAsia="en-US"/>
        </w:rPr>
        <w:t xml:space="preserve"> Haudan syvyys muistolehdossa on vähintään 0,3 m ja arkkulehdossa 150 cm ja 210 cm. </w:t>
      </w:r>
    </w:p>
    <w:p w14:paraId="7F02F90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Vainajan tuhka voidaan haudata myös kolumbaariohautaan. Kolumbaariohaudassa on useammalle vainajalle tarkoitettuja hautasijoja. </w:t>
      </w:r>
    </w:p>
    <w:p w14:paraId="3017CA1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Hautausmaalla voi olla tuhkan sirottelualue. Sirottelualueella vainajan tuhka haudataan maan pinnalle. </w:t>
      </w:r>
    </w:p>
    <w:p w14:paraId="1BB0EB0A"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Espoon seurakuntayhtymälle palautuneita useamman hautapaikan rinnakkaishautoja voidaan luovuttaa uudestaan yksittäisinä metrin levyisinä hautapaikkoina. </w:t>
      </w:r>
      <w:r w:rsidRPr="004F2B60">
        <w:rPr>
          <w:rFonts w:asciiTheme="minorHAnsi" w:eastAsia="Calibri" w:hAnsiTheme="minorHAnsi" w:cstheme="minorHAnsi"/>
          <w:color w:val="000000" w:themeColor="text1"/>
          <w:lang w:eastAsia="en-US"/>
        </w:rPr>
        <w:t>Poikkeuksena Kirkon hautausmaalla haudat voidaan luovuttaa uudestaan yksittäisinä 0,9 m levyisinä hautapaikkoina.</w:t>
      </w:r>
      <w:r w:rsidRPr="004F2B60">
        <w:rPr>
          <w:rFonts w:asciiTheme="minorHAnsi" w:eastAsia="Calibri" w:hAnsiTheme="minorHAnsi" w:cstheme="minorHAnsi"/>
          <w:color w:val="00B050"/>
          <w:lang w:eastAsia="en-US"/>
        </w:rPr>
        <w:t xml:space="preserve"> </w:t>
      </w:r>
      <w:r w:rsidRPr="004F2B60">
        <w:rPr>
          <w:rFonts w:asciiTheme="minorHAnsi" w:eastAsia="Calibri" w:hAnsiTheme="minorHAnsi" w:cstheme="minorHAnsi"/>
          <w:lang w:eastAsia="en-US"/>
        </w:rPr>
        <w:t>Vanha rinnakkaishauta voidaan hautaustoimen hyväksymällä tavalla ja oikeudenomistajan keskinäisellä sopimuksella hautapaikkakohtaisesti jakaa.</w:t>
      </w:r>
    </w:p>
    <w:p w14:paraId="6D359CD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0CE50ACC" wp14:editId="49DBE6FC">
                <wp:extent cx="5863590" cy="2855595"/>
                <wp:effectExtent l="7620" t="12065" r="5715" b="12700"/>
                <wp:docPr id="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7953A5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Terveydensuojeluasetus 40 § 2–3 mom.</w:t>
                            </w:r>
                          </w:p>
                          <w:p w14:paraId="62EC5AF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Hautaaminen</w:t>
                            </w:r>
                          </w:p>
                          <w:p w14:paraId="206AD8D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Arkkuun sijoitettu ruumis on haudattava maahan vähintään 150 senttimetrin syvyyteen. Samaa arkkuhautasijaa saa käyttää aikaisintaan 15 vuoden kuluttua edellisestä hautaamisesta.</w:t>
                            </w:r>
                          </w:p>
                          <w:p w14:paraId="3E0DE73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Ruumis voidaan sijoittaa myös hautakammioon edellyttäen, ettei siitä aiheudu terveyshaittaa. Hautakammioon saa haudata 2 momentissa mainittua aikaa lyhyemmin väliajoin edellyttäen, että kunnan terveydensuojeluviranomainen hyväksyy hautaamisen.</w:t>
                            </w:r>
                          </w:p>
                        </w:txbxContent>
                      </wps:txbx>
                      <wps:bodyPr rot="0" vert="horz" wrap="square" lIns="91440" tIns="45720" rIns="91440" bIns="45720" anchor="t" anchorCtr="0" upright="1">
                        <a:spAutoFit/>
                      </wps:bodyPr>
                    </wps:wsp>
                  </a:graphicData>
                </a:graphic>
              </wp:inline>
            </w:drawing>
          </mc:Choice>
          <mc:Fallback>
            <w:pict>
              <v:shape w14:anchorId="0CE50ACC" id="_x0000_s103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0c0LMGw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QHEAJHXDVQHYhZhUC5NGh0awJ+cdaTakvsfO4GKM/PBUncWo8kkyjwZk+nNmAy8 9GwuPcJKgip54Gw43odhNHYO9bahSCc93FFH1zpx/ZzVMX1SZmrBcYqi9C/t9Op51le/AA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9HNCzBsCAAAzBAAADgAAAAAAAAAAAAAAAAAuAgAAZHJzL2Uyb0RvYy54bWxQSwECLQAU AAYACAAAACEA0kbpa90AAAAFAQAADwAAAAAAAAAAAAAAAAB1BAAAZHJzL2Rvd25yZXYueG1sUEsF BgAAAAAEAAQA8wAAAH8FAAAAAA== ">
                <v:textbox style="mso-fit-shape-to-text:t">
                  <w:txbxContent>
                    <w:p w14:paraId="67953A5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Terveydensuojeluasetus 40 § 2–3 mom.</w:t>
                      </w:r>
                    </w:p>
                    <w:p w14:paraId="62EC5AF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Hautaaminen</w:t>
                      </w:r>
                    </w:p>
                    <w:p w14:paraId="206AD8D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Arkkuun sijoitettu ruumis on haudattava maahan vähintään 150 senttimetrin syvyyteen. Samaa arkkuhautasijaa saa käyttää aikaisintaan 15 vuoden kuluttua edellisestä hautaamisesta.</w:t>
                      </w:r>
                    </w:p>
                    <w:p w14:paraId="3E0DE73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Ruumis voidaan sijoittaa myös hautakammioon edellyttäen, ettei siitä aiheudu terveyshaittaa. Hautakammioon saa haudata 2 momentissa mainittua aikaa lyhyemmin väliajoin edellyttäen, että kunnan terveydensuojeluviranomainen hyväksyy hautaamisen.</w:t>
                      </w:r>
                    </w:p>
                  </w:txbxContent>
                </v:textbox>
                <w10:anchorlock/>
              </v:shape>
            </w:pict>
          </mc:Fallback>
        </mc:AlternateContent>
      </w:r>
    </w:p>
    <w:p w14:paraId="3CCE1B5A"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14393834" wp14:editId="722DD085">
                <wp:extent cx="5863590" cy="2855595"/>
                <wp:effectExtent l="7620" t="12065" r="5715" b="12700"/>
                <wp:docPr id="4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F4C7FC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59 §</w:t>
                            </w:r>
                          </w:p>
                          <w:p w14:paraId="34CE09C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Hautakartta</w:t>
                            </w:r>
                          </w:p>
                          <w:p w14:paraId="5F59B1B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wps:txbx>
                      <wps:bodyPr rot="0" vert="horz" wrap="square" lIns="91440" tIns="45720" rIns="91440" bIns="45720" anchor="t" anchorCtr="0" upright="1">
                        <a:spAutoFit/>
                      </wps:bodyPr>
                    </wps:wsp>
                  </a:graphicData>
                </a:graphic>
              </wp:inline>
            </w:drawing>
          </mc:Choice>
          <mc:Fallback>
            <w:pict>
              <v:shape w14:anchorId="14393834" id="_x0000_s103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PbcgGw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SUSA0ReN1AdiFmEQbk0aXRoAH9y1pFqS+5/7AQqzswHS91ZjCaTKPNkTKY3YzLw 0rO59AgrCarkgbPheB+G0dg51NuGIp30cEcdXevE9XNWx/RJmakFxymK0r+006vnWV/9Ag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VD23IBsCAAAzBAAADgAAAAAAAAAAAAAAAAAuAgAAZHJzL2Uyb0RvYy54bWxQSwECLQAU AAYACAAAACEA0kbpa90AAAAFAQAADwAAAAAAAAAAAAAAAAB1BAAAZHJzL2Rvd25yZXYueG1sUEsF BgAAAAAEAAQA8wAAAH8FAAAAAA== ">
                <v:textbox style="mso-fit-shape-to-text:t">
                  <w:txbxContent>
                    <w:p w14:paraId="7F4C7FC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59 §</w:t>
                      </w:r>
                    </w:p>
                    <w:p w14:paraId="34CE09C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Hautakartta</w:t>
                      </w:r>
                    </w:p>
                    <w:p w14:paraId="5F59B1B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v:textbox>
                <w10:anchorlock/>
              </v:shape>
            </w:pict>
          </mc:Fallback>
        </mc:AlternateContent>
      </w:r>
    </w:p>
    <w:p w14:paraId="49FC174C"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10" w:name="_Toc232169012"/>
      <w:r w:rsidRPr="004F2B60">
        <w:rPr>
          <w:rFonts w:asciiTheme="minorHAnsi" w:hAnsiTheme="minorHAnsi" w:cstheme="minorHAnsi"/>
          <w:lang w:eastAsia="en-US"/>
        </w:rPr>
        <w:lastRenderedPageBreak/>
        <w:t>5 § Hautausjärjestelyistä sopiminen</w:t>
      </w:r>
      <w:bookmarkEnd w:id="10"/>
    </w:p>
    <w:p w14:paraId="6716A303"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Hautausjärjestelyistä huolehtivan henkilön on todistettava henkilöllisyytensä, ilmoitettava omat yhteystietonsa, esitettävä tarvittaessa vainajan omaisten valtuutus tai vainajan eläessään ilmaisema tahto huolehtia tehtävästä sekä allekirjoitettava hautausjärjestelyjä koskeva toimeksianto.</w:t>
      </w:r>
    </w:p>
    <w:p w14:paraId="6A78933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Hautaamisen ajasta on sovittava pääsääntöisesti viimeistään 5 työpäivää ennen toimitusta. </w:t>
      </w:r>
    </w:p>
    <w:p w14:paraId="2EB478C0" w14:textId="77777777" w:rsidR="004F2B60" w:rsidRPr="004F2B60" w:rsidRDefault="004F2B60" w:rsidP="004F2B60">
      <w:pPr>
        <w:spacing w:before="120" w:after="120" w:line="288" w:lineRule="auto"/>
        <w:rPr>
          <w:rFonts w:asciiTheme="minorHAnsi" w:eastAsia="Calibri" w:hAnsiTheme="minorHAnsi" w:cstheme="minorHAnsi"/>
          <w:strike/>
          <w:lang w:eastAsia="en-US"/>
        </w:rPr>
      </w:pPr>
      <w:r w:rsidRPr="004F2B60">
        <w:rPr>
          <w:rFonts w:asciiTheme="minorHAnsi" w:eastAsia="Calibri" w:hAnsiTheme="minorHAnsi" w:cstheme="minorHAnsi"/>
          <w:noProof/>
          <w:lang w:eastAsia="en-US"/>
        </w:rPr>
        <mc:AlternateContent>
          <mc:Choice Requires="wps">
            <w:drawing>
              <wp:inline distT="0" distB="0" distL="0" distR="0" wp14:anchorId="62A56FE8" wp14:editId="7FC2FF34">
                <wp:extent cx="5863590" cy="2855595"/>
                <wp:effectExtent l="7620" t="12065" r="5715" b="12700"/>
                <wp:docPr id="5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0250B1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23 § 1–2 mom.</w:t>
                            </w:r>
                          </w:p>
                          <w:p w14:paraId="682675B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Hautausjärjestelyt</w:t>
                            </w:r>
                          </w:p>
                          <w:p w14:paraId="267F1F4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Jollei vainaja ole eläessään nimenomaisesti toivonut tietyn henkilön huolehtivan hautaamiseen, tuhkaamiseen ja tuhkan käsittelyyn liittyvistä järjestelyistä, voivat järjestelyistä huolehtia vainajan eloonjäänyt puoliso tai kuolinhetkellä vainajan kanssa avioliitonomaisissa olosuhteissa yhteisessä taloudessa jatkuvasti elänyt henkilö sekä lähimmät perilliset.</w:t>
                            </w:r>
                          </w:p>
                          <w:p w14:paraId="75E00EA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Jollei kukaan 1 momentissa tarkoitetuista henkilöistä huolehdi järjestelyistä, voi myös muu vainajan läheinen huolehtia niistä. Muussa tapauksessa järjestelyistä huolehtii se kunta, jossa vainajalla oli kuollessaan kotikuntalaissa tarkoitettu kotikunta, tai, jos vainajalla ei ollut kotikuntaa, se kunta, jossa vainaja kuollessaan asui.</w:t>
                            </w:r>
                          </w:p>
                        </w:txbxContent>
                      </wps:txbx>
                      <wps:bodyPr rot="0" vert="horz" wrap="square" lIns="91440" tIns="45720" rIns="91440" bIns="45720" anchor="t" anchorCtr="0" upright="1">
                        <a:spAutoFit/>
                      </wps:bodyPr>
                    </wps:wsp>
                  </a:graphicData>
                </a:graphic>
              </wp:inline>
            </w:drawing>
          </mc:Choice>
          <mc:Fallback>
            <w:pict>
              <v:shape w14:anchorId="62A56FE8" id="_x0000_s103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H0ZKGw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RSwnCiKxG6gORC3CIF36amQ0gD8560i2Jfc/dgIVZ+aDpfEsRpNJ1HlyJtObMTl4 GdlcRoSVBFXywNlg3ofhb+wc6m1DL50EcUcjXetE9nNVx/pJmmkGx28UtX/pp6znz776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zx9GShsCAAA0BAAADgAAAAAAAAAAAAAAAAAuAgAAZHJzL2Uyb0RvYy54bWxQSwECLQAU AAYACAAAACEA0kbpa90AAAAFAQAADwAAAAAAAAAAAAAAAAB1BAAAZHJzL2Rvd25yZXYueG1sUEsF BgAAAAAEAAQA8wAAAH8FAAAAAA== ">
                <v:textbox style="mso-fit-shape-to-text:t">
                  <w:txbxContent>
                    <w:p w14:paraId="40250B1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23 § 1–2 mom.</w:t>
                      </w:r>
                    </w:p>
                    <w:p w14:paraId="682675B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Hautausjärjestelyt</w:t>
                      </w:r>
                    </w:p>
                    <w:p w14:paraId="267F1F4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Jollei vainaja ole eläessään nimenomaisesti toivonut tietyn henkilön huolehtivan hautaamiseen, tuhkaamiseen ja tuhkan käsittelyyn liittyvistä järjestelyistä, voivat järjestelyistä huolehtia vainajan eloonjäänyt puoliso tai kuolinhetkellä vainajan kanssa avioliitonomaisissa olosuhteissa yhteisessä taloudessa jatkuvasti elänyt henkilö sekä lähimmät perilliset.</w:t>
                      </w:r>
                    </w:p>
                    <w:p w14:paraId="75E00EA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Jollei kukaan 1 momentissa tarkoitetuista henkilöistä huolehdi järjestelyistä, voi myös muu vainajan läheinen huolehtia niistä. Muussa tapauksessa järjestelyistä huolehtii se kunta, jossa vainajalla oli kuollessaan kotikuntalaissa tarkoitettu kotikunta, tai, jos vainajalla ei ollut kotikuntaa, se kunta, jossa vainaja kuollessaan asui.</w:t>
                      </w:r>
                    </w:p>
                  </w:txbxContent>
                </v:textbox>
                <w10:anchorlock/>
              </v:shape>
            </w:pict>
          </mc:Fallback>
        </mc:AlternateContent>
      </w:r>
    </w:p>
    <w:p w14:paraId="5C893A6F"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11" w:name="_Toc232169013"/>
      <w:r w:rsidRPr="004F2B60">
        <w:rPr>
          <w:rFonts w:asciiTheme="minorHAnsi" w:hAnsiTheme="minorHAnsi" w:cstheme="minorHAnsi"/>
          <w:lang w:eastAsia="en-US"/>
        </w:rPr>
        <w:t>6 § Hautaoikeus</w:t>
      </w:r>
      <w:bookmarkEnd w:id="11"/>
    </w:p>
    <w:p w14:paraId="1793A89E"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Hautausmaalla on hautausmaan käyttösuunnitelman mukaisesti hauta-alueita, joilla oikeus hautaan voidaan haudattavan vainajan lisäksi luovuttaa vainajan omaisille; yhteishauta-alueita, joilla vainajan omaisille ei muodostu tiettyyn paikkaan kohdistuvaa hautaoikeutta ja joiden ylläpidosta huolehtii seurakuntayhtymän </w:t>
      </w:r>
      <w:proofErr w:type="spellStart"/>
      <w:r w:rsidRPr="004F2B60">
        <w:rPr>
          <w:rFonts w:asciiTheme="minorHAnsi" w:eastAsia="Calibri" w:hAnsiTheme="minorHAnsi" w:cstheme="minorHAnsi"/>
          <w:lang w:eastAsia="en-US"/>
        </w:rPr>
        <w:t>hautaustoimi</w:t>
      </w:r>
      <w:proofErr w:type="spellEnd"/>
      <w:r w:rsidRPr="004F2B60">
        <w:rPr>
          <w:rFonts w:asciiTheme="minorHAnsi" w:eastAsia="Calibri" w:hAnsiTheme="minorHAnsi" w:cstheme="minorHAnsi"/>
          <w:lang w:eastAsia="en-US"/>
        </w:rPr>
        <w:t xml:space="preserve">; sekä hautoja, joilla hautaoikeus on vain siihen haudatuilla vainajilla ja joiden hallinta kuuluu seurakuntayhtymän hautaustoimelle. </w:t>
      </w:r>
    </w:p>
    <w:p w14:paraId="16B86548" w14:textId="77777777" w:rsidR="004F2B60" w:rsidRPr="004F2B60" w:rsidRDefault="004F2B60" w:rsidP="004F2B60">
      <w:pPr>
        <w:spacing w:before="120" w:after="120" w:line="288" w:lineRule="auto"/>
        <w:rPr>
          <w:rFonts w:asciiTheme="minorHAnsi" w:eastAsia="Calibri" w:hAnsiTheme="minorHAnsi" w:cstheme="minorHAnsi"/>
          <w:color w:val="00B050"/>
          <w:lang w:eastAsia="en-US"/>
        </w:rPr>
      </w:pPr>
      <w:r w:rsidRPr="004F2B60">
        <w:rPr>
          <w:rFonts w:asciiTheme="minorHAnsi" w:eastAsia="Calibri" w:hAnsiTheme="minorHAnsi" w:cstheme="minorHAnsi"/>
          <w:lang w:eastAsia="en-US"/>
        </w:rPr>
        <w:t xml:space="preserve">Oikeus uuteen arkkuhautaan luovutetaan vain vainajalle, jonka kotikunta oli kuolinhetkellä Espoo. Arkkuhauta luovutetaan pääsääntöisesti vain arkkuhautaukseen. </w:t>
      </w:r>
      <w:r w:rsidRPr="004F2B60">
        <w:rPr>
          <w:rFonts w:asciiTheme="minorHAnsi" w:eastAsia="Calibri" w:hAnsiTheme="minorHAnsi" w:cstheme="minorHAnsi"/>
          <w:color w:val="000000" w:themeColor="text1"/>
          <w:lang w:eastAsia="en-US"/>
        </w:rPr>
        <w:t xml:space="preserve">Ulkopaikkakuntalaisille voidaan luovuttaa uusi uurnahautapaikka Kellonummen hautausmaalta tai minkä tahansa hautausmaan muistolehdosta tai sirottelualueelta. </w:t>
      </w:r>
      <w:r w:rsidRPr="004F2B60">
        <w:rPr>
          <w:rFonts w:asciiTheme="minorHAnsi" w:eastAsia="Calibri" w:hAnsiTheme="minorHAnsi" w:cstheme="minorHAnsi"/>
          <w:lang w:eastAsia="en-US"/>
        </w:rPr>
        <w:t xml:space="preserve">Kappelin ja Kirkon hautausmailta sekä </w:t>
      </w:r>
      <w:proofErr w:type="spellStart"/>
      <w:r w:rsidRPr="004F2B60">
        <w:rPr>
          <w:rFonts w:asciiTheme="minorHAnsi" w:eastAsia="Calibri" w:hAnsiTheme="minorHAnsi" w:cstheme="minorHAnsi"/>
          <w:lang w:eastAsia="en-US"/>
        </w:rPr>
        <w:t>Gräsan</w:t>
      </w:r>
      <w:proofErr w:type="spellEnd"/>
      <w:r w:rsidRPr="004F2B60">
        <w:rPr>
          <w:rFonts w:asciiTheme="minorHAnsi" w:eastAsia="Calibri" w:hAnsiTheme="minorHAnsi" w:cstheme="minorHAnsi"/>
          <w:lang w:eastAsia="en-US"/>
        </w:rPr>
        <w:t xml:space="preserve"> ja Tapiolan uurnalehdoista uusia hautoja luovutetaan vain vainajille, joiden kotikunta oli kuolinhetkellä Espoo. </w:t>
      </w:r>
    </w:p>
    <w:p w14:paraId="3B123141" w14:textId="55EDF735"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Hautaoikeus luovutetaan kerrallaan 20 tai 25 vuodeksi hautausmaiden käyttösuunnitelmien mukaan. Hautaoikeuden voimassaoloaika lasketaan haudan luovuttamista seuraavan kalenterivuoden alusta. Hautaustoimi tarjoaa mahdollisuuden jatkaa määräaikaisten hautojen hallinta-aikaa, ellei määräajan jatkamiselle ole hautausmaan tarkoituksenmukaisesta ylläpidosta aiheutuvaa estettä. </w:t>
      </w:r>
      <w:r w:rsidR="001B3D72" w:rsidRPr="001B3D72">
        <w:rPr>
          <w:rFonts w:asciiTheme="minorHAnsi" w:eastAsia="Calibri" w:hAnsiTheme="minorHAnsi" w:cstheme="minorHAnsi"/>
          <w:lang w:eastAsia="en-US"/>
        </w:rPr>
        <w:t>Uuden hautauksen jälkeen haudan hallinta-aikaa on pidennettävä siten, että hautaoikeus on voimassa vähintään 20 tai 25 vuotta.</w:t>
      </w:r>
      <w:r w:rsidR="001B3D72">
        <w:rPr>
          <w:rFonts w:asciiTheme="minorHAnsi" w:eastAsia="Calibri" w:hAnsiTheme="minorHAnsi" w:cstheme="minorHAnsi"/>
          <w:lang w:eastAsia="en-US"/>
        </w:rPr>
        <w:t xml:space="preserve"> </w:t>
      </w:r>
      <w:r w:rsidRPr="004F2B60">
        <w:rPr>
          <w:rFonts w:asciiTheme="minorHAnsi" w:eastAsia="Calibri" w:hAnsiTheme="minorHAnsi" w:cstheme="minorHAnsi"/>
          <w:lang w:eastAsia="en-US"/>
        </w:rPr>
        <w:t xml:space="preserve">Maksu hallinta-ajan pidennyksestä määräytyy voimassa olevan hinnaston mukaan. </w:t>
      </w:r>
    </w:p>
    <w:p w14:paraId="43F869FF"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lastRenderedPageBreak/>
        <w:t xml:space="preserve">Jos hautaoikeuden haltija haluaa luopua hautaoikeudesta, hänelle ei makseta korvausta jäljellä olevasta hallinta-ajasta. </w:t>
      </w:r>
      <w:r w:rsidRPr="004F2B60">
        <w:rPr>
          <w:rFonts w:asciiTheme="minorHAnsi" w:eastAsia="Calibri" w:hAnsiTheme="minorHAnsi" w:cstheme="minorHAnsi"/>
          <w:noProof/>
          <w:lang w:eastAsia="en-US"/>
        </w:rPr>
        <mc:AlternateContent>
          <mc:Choice Requires="wps">
            <w:drawing>
              <wp:inline distT="0" distB="0" distL="0" distR="0" wp14:anchorId="76C56B9E" wp14:editId="0EBE84D0">
                <wp:extent cx="5863590" cy="2855595"/>
                <wp:effectExtent l="7620" t="12065" r="5715" b="12700"/>
                <wp:docPr id="1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2ECFE5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4 §</w:t>
                            </w:r>
                          </w:p>
                          <w:p w14:paraId="38E591B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Hautasijan osoittaminen</w:t>
                            </w:r>
                          </w:p>
                          <w:p w14:paraId="5A13F1F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Evankelis-luterilaisen kirkon seurakunta tai seurakuntayhtymä on velvollinen vaadittaessa osoittamaan hautasijan vainajalle, jonka kotikuntalaissa (201/1994) tarkoitettu kotikunta oli kuolinhetkellä seurakunnan tai seurakuntayhtymän alueella.</w:t>
                            </w:r>
                          </w:p>
                          <w:p w14:paraId="4A36A4C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Jos vainajalla ei kuollessaan ollut kotikuntalaissa tarkoitettua kotikuntaa, 1 momentissa mainittu velvollisuus on sillä evankelis-luterilaisen kirkon seurakunnalla tai seurakuntayhtymällä, jonka alueella vainaja kuollessaan asui.</w:t>
                            </w:r>
                          </w:p>
                          <w:p w14:paraId="2D5CB03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Evankelis-luterilaisen kirkon seurakunta tai seurakuntayhtymä on lisäksi velvollinen vaadittaessa osoittamaan hautasijan myös sellaiselle kuolinhetkellä ulkomailla asuneelle Suomen kansalaiselle, jonka viimeinen kotikuntalaissa tarkoitettu kotikunta ennen ulkomaille muuttamista oli seurakunnan tai seurakuntayhtymän alueella.</w:t>
                            </w:r>
                          </w:p>
                        </w:txbxContent>
                      </wps:txbx>
                      <wps:bodyPr rot="0" vert="horz" wrap="square" lIns="91440" tIns="45720" rIns="91440" bIns="45720" anchor="t" anchorCtr="0" upright="1">
                        <a:spAutoFit/>
                      </wps:bodyPr>
                    </wps:wsp>
                  </a:graphicData>
                </a:graphic>
              </wp:inline>
            </w:drawing>
          </mc:Choice>
          <mc:Fallback>
            <w:pict>
              <v:shape w14:anchorId="76C56B9E" id="_x0000_s103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UbOmGw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RSwnmiOxG6gORC3CIF36amQ0gD8560i2Jfc/dgIVZ+aDpfEsRpNJ1HlyJtObMTl4 GdlcRoSVBFXywNlg3ofhb+wc6m1DL50EcUcjXetE9nNVx/pJmmkGx28UtX/pp6znz776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b1GzphsCAAA0BAAADgAAAAAAAAAAAAAAAAAuAgAAZHJzL2Uyb0RvYy54bWxQSwECLQAU AAYACAAAACEA0kbpa90AAAAFAQAADwAAAAAAAAAAAAAAAAB1BAAAZHJzL2Rvd25yZXYueG1sUEsF BgAAAAAEAAQA8wAAAH8FAAAAAA== ">
                <v:textbox style="mso-fit-shape-to-text:t">
                  <w:txbxContent>
                    <w:p w14:paraId="62ECFE5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4 §</w:t>
                      </w:r>
                    </w:p>
                    <w:p w14:paraId="38E591B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Hautasijan osoittaminen</w:t>
                      </w:r>
                    </w:p>
                    <w:p w14:paraId="5A13F1F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Evankelis-luterilaisen kirkon seurakunta tai seurakuntayhtymä on velvollinen vaadittaessa osoittamaan hautasijan vainajalle, jonka kotikuntalaissa (201/1994) tarkoitettu kotikunta oli kuolinhetkellä seurakunnan tai seurakuntayhtymän alueella.</w:t>
                      </w:r>
                    </w:p>
                    <w:p w14:paraId="4A36A4C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Jos vainajalla ei kuollessaan ollut kotikuntalaissa tarkoitettua kotikuntaa, 1 momentissa mainittu velvollisuus on sillä evankelis-luterilaisen kirkon seurakunnalla tai seurakuntayhtymällä, jonka alueella vainaja kuollessaan asui.</w:t>
                      </w:r>
                    </w:p>
                    <w:p w14:paraId="2D5CB03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Evankelis-luterilaisen kirkon seurakunta tai seurakuntayhtymä on lisäksi velvollinen vaadittaessa osoittamaan hautasijan myös sellaiselle kuolinhetkellä ulkomailla asuneelle Suomen kansalaiselle, jonka viimeinen kotikuntalaissa tarkoitettu kotikunta ennen ulkomaille muuttamista oli seurakunnan tai seurakuntayhtymän alueella.</w:t>
                      </w:r>
                    </w:p>
                  </w:txbxContent>
                </v:textbox>
                <w10:anchorlock/>
              </v:shape>
            </w:pict>
          </mc:Fallback>
        </mc:AlternateContent>
      </w:r>
    </w:p>
    <w:p w14:paraId="2C073E3E"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3DF9CF24" wp14:editId="338C7F08">
                <wp:extent cx="5863590" cy="2855595"/>
                <wp:effectExtent l="7620" t="12065" r="5715" b="12700"/>
                <wp:docPr id="1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D74CDF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11 §</w:t>
                            </w:r>
                          </w:p>
                          <w:p w14:paraId="050FBB9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Hautaoikeus</w:t>
                            </w:r>
                          </w:p>
                          <w:p w14:paraId="479CE87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Hautaoikeudesta evankelis-luterilaisen kirkon seurakunnan tai seurakuntayhtymän ja ortodoksisen kirkkokunnan seurakunnan hautausmaalla on voimassa, mitä kirkkolaissa ja ortodoksisesta kirkkokunnasta annetussa laissa säädetään ja niiden nojalla säädetään tai määrätään sekä hautausmaan ylläpitäjän ja hautaoikeuden haltijan kesken sovitaan.</w:t>
                            </w:r>
                          </w:p>
                          <w:p w14:paraId="698F4884" w14:textId="77777777" w:rsidR="004F2B60" w:rsidRPr="00721BE3" w:rsidRDefault="004F2B60" w:rsidP="004F2B60">
                            <w:pPr>
                              <w:spacing w:before="120" w:after="120" w:line="288" w:lineRule="auto"/>
                              <w:rPr>
                                <w:sz w:val="21"/>
                                <w:szCs w:val="21"/>
                              </w:rPr>
                            </w:pPr>
                            <w:r w:rsidRPr="004F2B60">
                              <w:rPr>
                                <w:rFonts w:asciiTheme="minorHAnsi" w:hAnsiTheme="minorHAnsi" w:cstheme="minorHAnsi"/>
                                <w:sz w:val="21"/>
                                <w:szCs w:val="21"/>
                              </w:rPr>
                              <w:t>Hautaoikeudesta muilla hautausmailla on voimassa, mitä hautausmaan ylläpitäjän ja hautaoikeuden haltijan kesken sovitaan.</w:t>
                            </w:r>
                          </w:p>
                        </w:txbxContent>
                      </wps:txbx>
                      <wps:bodyPr rot="0" vert="horz" wrap="square" lIns="91440" tIns="45720" rIns="91440" bIns="45720" anchor="t" anchorCtr="0" upright="1">
                        <a:spAutoFit/>
                      </wps:bodyPr>
                    </wps:wsp>
                  </a:graphicData>
                </a:graphic>
              </wp:inline>
            </w:drawing>
          </mc:Choice>
          <mc:Fallback>
            <w:pict>
              <v:shape w14:anchorId="3DF9CF24" id="_x0000_s103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hN1I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bE8jh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6E3UgcAgAANAQAAA4AAAAAAAAAAAAAAAAALgIAAGRycy9lMm9Eb2MueG1sUEsBAi0A FAAGAAgAAAAhANJG6WvdAAAABQEAAA8AAAAAAAAAAAAAAAAAdgQAAGRycy9kb3ducmV2LnhtbFBL BQYAAAAABAAEAPMAAACABQAAAAA= ">
                <v:textbox style="mso-fit-shape-to-text:t">
                  <w:txbxContent>
                    <w:p w14:paraId="7D74CDF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11 §</w:t>
                      </w:r>
                    </w:p>
                    <w:p w14:paraId="050FBB9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Hautaoikeus</w:t>
                      </w:r>
                    </w:p>
                    <w:p w14:paraId="479CE87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Hautaoikeudesta evankelis-luterilaisen kirkon seurakunnan tai seurakuntayhtymän ja ortodoksisen kirkkokunnan seurakunnan hautausmaalla on voimassa, mitä kirkkolaissa ja ortodoksisesta kirkkokunnasta annetussa laissa säädetään ja niiden nojalla säädetään tai määrätään sekä hautausmaan ylläpitäjän ja hautaoikeuden haltijan kesken sovitaan.</w:t>
                      </w:r>
                    </w:p>
                    <w:p w14:paraId="698F4884" w14:textId="77777777" w:rsidR="004F2B60" w:rsidRPr="00721BE3" w:rsidRDefault="004F2B60" w:rsidP="004F2B60">
                      <w:pPr>
                        <w:spacing w:before="120" w:after="120" w:line="288" w:lineRule="auto"/>
                        <w:rPr>
                          <w:sz w:val="21"/>
                          <w:szCs w:val="21"/>
                        </w:rPr>
                      </w:pPr>
                      <w:r w:rsidRPr="004F2B60">
                        <w:rPr>
                          <w:rFonts w:asciiTheme="minorHAnsi" w:hAnsiTheme="minorHAnsi" w:cstheme="minorHAnsi"/>
                          <w:sz w:val="21"/>
                          <w:szCs w:val="21"/>
                        </w:rPr>
                        <w:t>Hautaoikeudesta muilla hautausmailla on voimassa, mitä hautausmaan ylläpitäjän ja hautaoikeuden haltijan kesken sovitaan.</w:t>
                      </w:r>
                    </w:p>
                  </w:txbxContent>
                </v:textbox>
                <w10:anchorlock/>
              </v:shape>
            </w:pict>
          </mc:Fallback>
        </mc:AlternateContent>
      </w:r>
    </w:p>
    <w:p w14:paraId="2CEBABDD"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2FF21F6A" wp14:editId="76ABE040">
                <wp:extent cx="5863590" cy="2855595"/>
                <wp:effectExtent l="7620" t="12065" r="5715" b="12700"/>
                <wp:docPr id="1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0E6732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29 §</w:t>
                            </w:r>
                          </w:p>
                          <w:p w14:paraId="13DCAB5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Hautaoikeus </w:t>
                            </w:r>
                          </w:p>
                          <w:p w14:paraId="13A6BC7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Seurakunnan tai seurakuntayhtymän velvollisuudesta osoittaa hautasija vainajalle säädetään hautaustoimilaissa (457/2003). Kirkkoneuvosto voi päättää, että seurakunnan hautausmaahan saadaan haudata muukin kuin hautaustoimilaissa siihen oikeutettu vainaja. </w:t>
                            </w:r>
                          </w:p>
                          <w:p w14:paraId="7E99FFF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Seurakunta luovuttaa hautaoikeuden kuolemantapauksen yhteydessä. Samalla hautaoikeus voidaan luovuttaa myös vainajan omaisille. Kirkkoneuvosto voi erityisestä syystä päättää hautaoikeuden luovuttamisesta muulloinkin.</w:t>
                            </w:r>
                          </w:p>
                          <w:p w14:paraId="74FDB0E5"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haltija voi luovuttaa hautaoikeuden vain seurakunnalle.</w:t>
                            </w:r>
                          </w:p>
                        </w:txbxContent>
                      </wps:txbx>
                      <wps:bodyPr rot="0" vert="horz" wrap="square" lIns="91440" tIns="45720" rIns="91440" bIns="45720" anchor="t" anchorCtr="0" upright="1">
                        <a:spAutoFit/>
                      </wps:bodyPr>
                    </wps:wsp>
                  </a:graphicData>
                </a:graphic>
              </wp:inline>
            </w:drawing>
          </mc:Choice>
          <mc:Fallback>
            <w:pict>
              <v:shape w14:anchorId="2FF21F6A" id="_x0000_s103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yiikHAIAADQEAAAOAAAAZHJzL2Uyb0RvYy54bWysU9tu2zAMfR+wfxD0vthJmjQ14hRduwwD ugvQ7QNkWY6FyaJGKbG7rx8lJ2nRbS/D9CCIonRIHh6ur4fOsINCr8GWfDrJOVNWQq3truTfvm7f rDjzQdhaGLCq5I/K8+vN61fr3hVqBi2YWiEjEOuL3pW8DcEVWeZlqzrhJ+CUJWcD2IlAJu6yGkVP 6J3JZnm+zHrA2iFI5T3d3o1Ovkn4TaNk+Nw0XgVmSk65hbRj2qu4Z5u1KHYoXKvlMQ3xD1l0QlsK eoa6E0GwPerfoDotETw0YSKhy6BptFSpBqpmmr+o5qEVTqVaiBzvzjT5/wcrPx0e3BdkYXgLAzUw FeHdPcjvnlm4bYXdqRtE6Fslago8jZRlvfPF8Wuk2hc+glT9R6ipyWIfIAENDXaRFaqTETo14PFM uhoCk3S5WC3niytySfLN88t8tUxtyURx+u7Qh/cKOhYPJUfqaoIXh3sfYjqiOD2J0TwYXW+1McnA XXVrkB0EKWCbVqrgxTNjWV/yq8VsMTLwV4g8rT9BdDqQlI3uSr46PxJF5O2drZPQgtBmPFPKxh6J jNyNLIahGpiuieV5jBCJraB+JGoRRunSqNGhBfzJWU+yLbn/sReoODMfLLXnanpxEXWejIvF5YwM fO6pnnuElQRV8sDZeLwN42zsHepdS5FOgrihlm51Ivspq2P+JM3Ug+MYRe0/t9Orp2Hf/AI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7KKKQcAgAANAQAAA4AAAAAAAAAAAAAAAAALgIAAGRycy9lMm9Eb2MueG1sUEsBAi0A FAAGAAgAAAAhANJG6WvdAAAABQEAAA8AAAAAAAAAAAAAAAAAdgQAAGRycy9kb3ducmV2LnhtbFBL BQYAAAAABAAEAPMAAACABQAAAAA= ">
                <v:textbox style="mso-fit-shape-to-text:t">
                  <w:txbxContent>
                    <w:p w14:paraId="30E6732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29 §</w:t>
                      </w:r>
                    </w:p>
                    <w:p w14:paraId="13DCAB5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Hautaoikeus </w:t>
                      </w:r>
                    </w:p>
                    <w:p w14:paraId="13A6BC7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Seurakunnan tai seurakuntayhtymän velvollisuudesta osoittaa hautasija vainajalle säädetään hautaustoimilaissa (457/2003). Kirkkoneuvosto voi päättää, että seurakunnan hautausmaahan saadaan haudata muukin kuin hautaustoimilaissa siihen oikeutettu vainaja. </w:t>
                      </w:r>
                    </w:p>
                    <w:p w14:paraId="7E99FFF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Seurakunta luovuttaa hautaoikeuden kuolemantapauksen yhteydessä. Samalla hautaoikeus voidaan luovuttaa myös vainajan omaisille. Kirkkoneuvosto voi erityisestä syystä päättää hautaoikeuden luovuttamisesta muulloinkin.</w:t>
                      </w:r>
                    </w:p>
                    <w:p w14:paraId="74FDB0E5"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haltija voi luovuttaa hautaoikeuden vain seurakunnalle.</w:t>
                      </w:r>
                    </w:p>
                  </w:txbxContent>
                </v:textbox>
                <w10:anchorlock/>
              </v:shape>
            </w:pict>
          </mc:Fallback>
        </mc:AlternateContent>
      </w:r>
    </w:p>
    <w:p w14:paraId="682D00DE"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3AC6E0AD" wp14:editId="7AA61633">
                <wp:extent cx="5863590" cy="2855595"/>
                <wp:effectExtent l="7620" t="12065" r="5715" b="12700"/>
                <wp:docPr id="1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721150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30 §</w:t>
                            </w:r>
                          </w:p>
                          <w:p w14:paraId="4B31C11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voimassaoloaika</w:t>
                            </w:r>
                          </w:p>
                          <w:p w14:paraId="4ECA0EE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Hautaoikeus luovutetaan enintään 50 vuoden määräajaksi. Määräaika lasketaan haudan luovuttamista seuraavan kalenterivuoden alusta. Hautaoikeuden voimassaoloaika päättyy aikaisintaan sen kalenterivuoden lopussa, jona viimeisestä hautauksesta on kulunut 15 vuotta, ei kuitenkaan ennen kuin hautaa voidaan käyttää uudelleen. </w:t>
                            </w:r>
                          </w:p>
                          <w:p w14:paraId="38ABD6C5"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Hautaoikeuden voimassaoloaikaa voidaan oikeudenhaltijan hakemuksesta jatkaa, jollei siitä aiheudu haittaa hautausmaan tarkoituksenmukaiselle järjestelylle tai hoidolle. Hautaoikeus on voimassa vain niin kauan kuin hauta on rauhoitetun hautausmaan osana. </w:t>
                            </w:r>
                          </w:p>
                          <w:p w14:paraId="335B054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Hautaoikeus lakkaa ilman irtisanomista.</w:t>
                            </w:r>
                          </w:p>
                        </w:txbxContent>
                      </wps:txbx>
                      <wps:bodyPr rot="0" vert="horz" wrap="square" lIns="91440" tIns="45720" rIns="91440" bIns="45720" anchor="t" anchorCtr="0" upright="1">
                        <a:spAutoFit/>
                      </wps:bodyPr>
                    </wps:wsp>
                  </a:graphicData>
                </a:graphic>
              </wp:inline>
            </w:drawing>
          </mc:Choice>
          <mc:Fallback>
            <w:pict>
              <v:shape w14:anchorId="3AC6E0AD" id="_x0000_s104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KXFPHA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iliexgiR2C1UR6IWYZAujRodGsCfnHUk25L7H3uBijPzwVJ7bsbTadR5Mqaz6wkZ eOnZXnqElQRV8sDZcFyHYTb2DvWuoUhPgrijlm50Ivs5q1P+JM3Ug9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0pcU8cAgAANAQAAA4AAAAAAAAAAAAAAAAALgIAAGRycy9lMm9Eb2MueG1sUEsBAi0A FAAGAAgAAAAhANJG6WvdAAAABQEAAA8AAAAAAAAAAAAAAAAAdgQAAGRycy9kb3ducmV2LnhtbFBL BQYAAAAABAAEAPMAAACABQAAAAA= ">
                <v:textbox style="mso-fit-shape-to-text:t">
                  <w:txbxContent>
                    <w:p w14:paraId="7721150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30 §</w:t>
                      </w:r>
                    </w:p>
                    <w:p w14:paraId="4B31C11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voimassaoloaika</w:t>
                      </w:r>
                    </w:p>
                    <w:p w14:paraId="4ECA0EE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Hautaoikeus luovutetaan enintään 50 vuoden määräajaksi. Määräaika lasketaan haudan luovuttamista seuraavan kalenterivuoden alusta. Hautaoikeuden voimassaoloaika päättyy aikaisintaan sen kalenterivuoden lopussa, jona viimeisestä hautauksesta on kulunut 15 vuotta, ei kuitenkaan ennen kuin hautaa voidaan käyttää uudelleen. </w:t>
                      </w:r>
                    </w:p>
                    <w:p w14:paraId="38ABD6C5"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Hautaoikeuden voimassaoloaikaa voidaan oikeudenhaltijan hakemuksesta jatkaa, jollei siitä aiheudu haittaa hautausmaan tarkoituksenmukaiselle järjestelylle tai hoidolle. Hautaoikeus on voimassa vain niin kauan kuin hauta on rauhoitetun hautausmaan osana. </w:t>
                      </w:r>
                    </w:p>
                    <w:p w14:paraId="335B054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Hautaoikeus lakkaa ilman irtisanomista.</w:t>
                      </w:r>
                    </w:p>
                  </w:txbxContent>
                </v:textbox>
                <w10:anchorlock/>
              </v:shape>
            </w:pict>
          </mc:Fallback>
        </mc:AlternateContent>
      </w:r>
    </w:p>
    <w:p w14:paraId="21873EB5"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50AE9C0F" wp14:editId="55A5DD44">
                <wp:extent cx="5863590" cy="2855595"/>
                <wp:effectExtent l="7620" t="12065" r="5715" b="12700"/>
                <wp:docPr id="1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11B3AB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13 luku 8 §</w:t>
                            </w:r>
                          </w:p>
                          <w:p w14:paraId="7CA92D5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w:t>
                            </w:r>
                          </w:p>
                          <w:p w14:paraId="013D43C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Jos seurakunta on ennen tämän lain voimaantuloa luovuttanut haudan ainiaaksi, tämä luovutus on edelleen voimassa niin kauan kuin hauta on rauhoitetun hautausmaan osana. Hautaan sovelletaan kuitenkin 3 luvun 33 §:ää.</w:t>
                            </w:r>
                          </w:p>
                          <w:p w14:paraId="265E667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Hautoihin, jotka on luovutettu määräajaksi ennen tämän lain voimaantuloa, sovelletaan tätä lakia ja sen nojalla annettuja määräyksiä siltä osin kuin ne eivät rajoita hautaoikeuden haltijalla tämän lain voimaan tullessa voimassa olleita oikeuksia.</w:t>
                            </w:r>
                          </w:p>
                        </w:txbxContent>
                      </wps:txbx>
                      <wps:bodyPr rot="0" vert="horz" wrap="square" lIns="91440" tIns="45720" rIns="91440" bIns="45720" anchor="t" anchorCtr="0" upright="1">
                        <a:spAutoFit/>
                      </wps:bodyPr>
                    </wps:wsp>
                  </a:graphicData>
                </a:graphic>
              </wp:inline>
            </w:drawing>
          </mc:Choice>
          <mc:Fallback>
            <w:pict>
              <v:shape w14:anchorId="50AE9C0F" id="_x0000_s104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Z4SjHAIAADQEAAAOAAAAZHJzL2Uyb0RvYy54bWysU9uO2yAQfa/Uf0C8N3aycTax4qy22aaq tL1I234AxthGxUAHEjv9+g44yUbb9qUqD4hh4MzMmTPru6FT5CDASaMLOp2klAjNTSV1U9BvX3dv lpQ4z3TFlNGioEfh6N3m9at1b3MxM61RlQCCINrlvS1o673Nk8TxVnTMTYwVGp21gY55NKFJKmA9 oncqmaXpIukNVBYMF87h7cPopJuIX9eC+8917YQnqqCYm487xL0Me7JZs7wBZlvJT2mwf8iiY1Jj 0AvUA/OM7EH+BtVJDsaZ2k+46RJT15KLWANWM01fVPPUMitiLUiOsxea3P+D5Z8OT/YLED+8NQM2 MBbh7KPh3x3RZtsy3Yh7ANO3glUYeBooS3rr8tPXQLXLXQAp+4+mwiazvTcRaKihC6xgnQTRsQHH C+li8ITjZbZc3GQrdHH03aS36XIR25Kw/PzdgvPvhelIOBQUsKsRnh0enQ/psPz8JERzRslqJ5WK BjTlVgE5MFTALq5YwYtnSpO+oKtslo0M/BUijetPEJ30KGUlu4IuL49YHnh7p6soNM+kGs+YstIn IgN3I4t+KAciK2Q5CxECsaWpjkgtmFG6OGp4aA38pKRH2RbU/dgzEJSoDxrbs5rO50Hn0ZhntzM0 4NpTXnuY5ghVUE/JeNz6cTb2FmTTYqSzIO6xpTsZyX7O6pQ/SjP24DRGQfvXdnz1POyb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1nhKMcAgAANAQAAA4AAAAAAAAAAAAAAAAALgIAAGRycy9lMm9Eb2MueG1sUEsBAi0A FAAGAAgAAAAhANJG6WvdAAAABQEAAA8AAAAAAAAAAAAAAAAAdgQAAGRycy9kb3ducmV2LnhtbFBL BQYAAAAABAAEAPMAAACABQAAAAA= ">
                <v:textbox style="mso-fit-shape-to-text:t">
                  <w:txbxContent>
                    <w:p w14:paraId="311B3AB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13 luku 8 §</w:t>
                      </w:r>
                    </w:p>
                    <w:p w14:paraId="7CA92D5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w:t>
                      </w:r>
                    </w:p>
                    <w:p w14:paraId="013D43C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Jos seurakunta on ennen tämän lain voimaantuloa luovuttanut haudan ainiaaksi, tämä luovutus on edelleen voimassa niin kauan kuin hauta on rauhoitetun hautausmaan osana. Hautaan sovelletaan kuitenkin 3 luvun 33 §:ää.</w:t>
                      </w:r>
                    </w:p>
                    <w:p w14:paraId="265E667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Hautoihin, jotka on luovutettu määräajaksi ennen tämän lain voimaantuloa, sovelletaan tätä lakia ja sen nojalla annettuja määräyksiä siltä osin kuin ne eivät rajoita hautaoikeuden haltijalla tämän lain voimaan tullessa voimassa olleita oikeuksia.</w:t>
                      </w:r>
                    </w:p>
                  </w:txbxContent>
                </v:textbox>
                <w10:anchorlock/>
              </v:shape>
            </w:pict>
          </mc:Fallback>
        </mc:AlternateContent>
      </w:r>
    </w:p>
    <w:p w14:paraId="5C7D7B78"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5726502B" wp14:editId="73DE72FC">
                <wp:extent cx="5863590" cy="2855595"/>
                <wp:effectExtent l="7620" t="12065" r="5715" b="12700"/>
                <wp:docPr id="1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F0BA31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36 §</w:t>
                            </w:r>
                          </w:p>
                          <w:p w14:paraId="4C7C844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Hautaustoimen maksut</w:t>
                            </w:r>
                          </w:p>
                          <w:p w14:paraId="5FEB94F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§:ää.</w:t>
                            </w:r>
                          </w:p>
                          <w:p w14:paraId="6BBE7895"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Kirkkovaltuusto päättää haudoista perittävistä maksuista.</w:t>
                            </w:r>
                          </w:p>
                        </w:txbxContent>
                      </wps:txbx>
                      <wps:bodyPr rot="0" vert="horz" wrap="square" lIns="91440" tIns="45720" rIns="91440" bIns="45720" anchor="t" anchorCtr="0" upright="1">
                        <a:spAutoFit/>
                      </wps:bodyPr>
                    </wps:wsp>
                  </a:graphicData>
                </a:graphic>
              </wp:inline>
            </w:drawing>
          </mc:Choice>
          <mc:Fallback>
            <w:pict>
              <v:shape w14:anchorId="5726502B" id="_x0000_s104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supNHA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iliexwiR2C1UR6IWYZAujRodGsCfnHUk25L7H3uBijPzwVJ7bsbTadR5Mqaz6wkZ eOnZXnqElQRV8sDZcFyHYTb2DvWuoUhPgrijlm50Ivs5q1P+JM3Ug9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yy6k0cAgAANAQAAA4AAAAAAAAAAAAAAAAALgIAAGRycy9lMm9Eb2MueG1sUEsBAi0A FAAGAAgAAAAhANJG6WvdAAAABQEAAA8AAAAAAAAAAAAAAAAAdgQAAGRycy9kb3ducmV2LnhtbFBL BQYAAAAABAAEAPMAAACABQAAAAA= ">
                <v:textbox style="mso-fit-shape-to-text:t">
                  <w:txbxContent>
                    <w:p w14:paraId="0F0BA31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36 §</w:t>
                      </w:r>
                    </w:p>
                    <w:p w14:paraId="4C7C844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Hautaustoimen maksut</w:t>
                      </w:r>
                    </w:p>
                    <w:p w14:paraId="5FEB94F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§:ää.</w:t>
                      </w:r>
                    </w:p>
                    <w:p w14:paraId="6BBE7895"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Kirkkovaltuusto päättää haudoista perittävistä maksuista.</w:t>
                      </w:r>
                    </w:p>
                  </w:txbxContent>
                </v:textbox>
                <w10:anchorlock/>
              </v:shape>
            </w:pict>
          </mc:Fallback>
        </mc:AlternateContent>
      </w:r>
    </w:p>
    <w:p w14:paraId="54F6A301"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12" w:name="_Hlk3202540"/>
      <w:bookmarkStart w:id="13" w:name="_Toc232169014"/>
      <w:r w:rsidRPr="004F2B60">
        <w:rPr>
          <w:rFonts w:asciiTheme="minorHAnsi" w:hAnsiTheme="minorHAnsi" w:cstheme="minorHAnsi"/>
          <w:lang w:eastAsia="en-US"/>
        </w:rPr>
        <w:t>7 § Hautaamisjärjestys</w:t>
      </w:r>
      <w:bookmarkEnd w:id="12"/>
      <w:bookmarkEnd w:id="13"/>
    </w:p>
    <w:p w14:paraId="14D8333C" w14:textId="77777777" w:rsidR="004F2B60" w:rsidRPr="004F2B60" w:rsidRDefault="004F2B60" w:rsidP="004F2B60">
      <w:pPr>
        <w:spacing w:before="120" w:after="120" w:line="288" w:lineRule="auto"/>
        <w:rPr>
          <w:rFonts w:asciiTheme="minorHAnsi" w:eastAsia="Calibri" w:hAnsiTheme="minorHAnsi" w:cstheme="minorHAnsi"/>
        </w:rPr>
      </w:pPr>
      <w:r w:rsidRPr="004F2B60">
        <w:rPr>
          <w:rFonts w:asciiTheme="minorHAnsi" w:eastAsia="Calibri" w:hAnsiTheme="minorHAnsi" w:cstheme="minorHAnsi"/>
        </w:rPr>
        <w:t xml:space="preserve">Jos hautaan oikeutettu haluaa uuden haudan luovutuksen yhteydessä sopia siitä, keitä hautaan voidaan haudata, </w:t>
      </w:r>
      <w:bookmarkStart w:id="14" w:name="_Hlk132894056"/>
      <w:r w:rsidRPr="004F2B60">
        <w:rPr>
          <w:rFonts w:asciiTheme="minorHAnsi" w:eastAsia="Calibri" w:hAnsiTheme="minorHAnsi" w:cstheme="minorHAnsi"/>
        </w:rPr>
        <w:t>hänen on tarvittaessa esitettävä sukuselvitys</w:t>
      </w:r>
      <w:bookmarkEnd w:id="14"/>
      <w:r w:rsidRPr="004F2B60">
        <w:rPr>
          <w:rFonts w:asciiTheme="minorHAnsi" w:eastAsia="Calibri" w:hAnsiTheme="minorHAnsi" w:cstheme="minorHAnsi"/>
        </w:rPr>
        <w:t xml:space="preserve"> sekä todisteelliset tiedot kaikkien täysi-ikäisten hautaan oikeutettujen suostumuksista. </w:t>
      </w:r>
    </w:p>
    <w:p w14:paraId="45323E6B" w14:textId="77777777" w:rsidR="004F2B60" w:rsidRPr="004F2B60" w:rsidRDefault="004F2B60" w:rsidP="004F2B60">
      <w:pPr>
        <w:spacing w:before="120" w:after="120" w:line="288" w:lineRule="auto"/>
        <w:rPr>
          <w:rFonts w:asciiTheme="minorHAnsi" w:eastAsia="Calibri" w:hAnsiTheme="minorHAnsi" w:cstheme="minorHAnsi"/>
        </w:rPr>
      </w:pPr>
      <w:r w:rsidRPr="004F2B60">
        <w:rPr>
          <w:rFonts w:asciiTheme="minorHAnsi" w:eastAsia="Calibri" w:hAnsiTheme="minorHAnsi" w:cstheme="minorHAnsi"/>
        </w:rPr>
        <w:t xml:space="preserve">Aiemmin luovutettuun hautaan voidaan haudata hautaan haudatun vainajan kanssa avioliitossa tai avoliitossa elänyt henkilö sekä käytettävissä olevan tilan mukaan hautaan ensin haudatun vainajan suoraan etenevässä tai takenevassa polvessa oleva sukulainen ja tämän puoliso. Muun vainajan </w:t>
      </w:r>
      <w:r w:rsidRPr="004F2B60">
        <w:rPr>
          <w:rFonts w:asciiTheme="minorHAnsi" w:eastAsia="Calibri" w:hAnsiTheme="minorHAnsi" w:cstheme="minorHAnsi"/>
        </w:rPr>
        <w:lastRenderedPageBreak/>
        <w:t>hautaamiseen on oltava hautaoikeuden haltijan suostumus tai sukuselvitys ja ensisijaisten oikeudenomistajien suostumukset.</w:t>
      </w:r>
    </w:p>
    <w:p w14:paraId="33915C7F" w14:textId="77777777" w:rsidR="004F2B60" w:rsidRPr="004F2B60" w:rsidRDefault="004F2B60" w:rsidP="004F2B60">
      <w:pPr>
        <w:spacing w:before="120" w:after="120" w:line="288" w:lineRule="auto"/>
        <w:rPr>
          <w:rFonts w:asciiTheme="minorHAnsi" w:eastAsia="Calibri" w:hAnsiTheme="minorHAnsi" w:cstheme="minorHAnsi"/>
        </w:rPr>
      </w:pPr>
      <w:r w:rsidRPr="004F2B60">
        <w:rPr>
          <w:rFonts w:asciiTheme="minorHAnsi" w:eastAsia="Calibri" w:hAnsiTheme="minorHAnsi" w:cstheme="minorHAnsi"/>
          <w:noProof/>
          <w:lang w:eastAsia="en-US"/>
        </w:rPr>
        <mc:AlternateContent>
          <mc:Choice Requires="wps">
            <w:drawing>
              <wp:inline distT="0" distB="0" distL="0" distR="0" wp14:anchorId="37EE26EE" wp14:editId="46585C31">
                <wp:extent cx="5863590" cy="2855595"/>
                <wp:effectExtent l="7620" t="12065" r="5715" b="12700"/>
                <wp:docPr id="1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143F06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32 §</w:t>
                            </w:r>
                          </w:p>
                          <w:p w14:paraId="5669F46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Hautaamisjärjestys</w:t>
                            </w:r>
                          </w:p>
                          <w:p w14:paraId="39D2301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Hautaa luovutettaessa sovitaan siitä, keitä hautaan voidaan haudata. Jos sopimusta ei ole tehty 31 §:n 2 momentin mukaisesti, hautaan voidaan ensisijaisesti haudata vainaja, jota varten hauta on luovutettu, ja tämän puoliso sekä lisäksi kuolemantapausten mukaisessa järjestyksessä suoraan etenevässä tai takenevassa polvessa oleva sukulainen ja tämän puoliso. Jos tällaista sukulaista ei ole tai jos hautaoikeuden haltija siihen suostuu, hautaan saadaan haudata vainajan sisar ja veli sekä heidän lapsensa, sanottujen henkilöiden otto- ja kasvattilapset sekä näiden kaikkien puolisot. </w:t>
                            </w:r>
                          </w:p>
                          <w:p w14:paraId="4F8BDB4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Hautaustoimesta vastaava seurakunnan viranomainen voi hautaoikeuden haltijan suostumuksella antaa luvan haudata hautaan muunkin vainajan. </w:t>
                            </w:r>
                          </w:p>
                        </w:txbxContent>
                      </wps:txbx>
                      <wps:bodyPr rot="0" vert="horz" wrap="square" lIns="91440" tIns="45720" rIns="91440" bIns="45720" anchor="t" anchorCtr="0" upright="1">
                        <a:spAutoFit/>
                      </wps:bodyPr>
                    </wps:wsp>
                  </a:graphicData>
                </a:graphic>
              </wp:inline>
            </w:drawing>
          </mc:Choice>
          <mc:Fallback>
            <w:pict>
              <v:shape w14:anchorId="37EE26EE" id="_x0000_s104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B+h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bF8EyNEYjdQHYhahEG6NGp0aAB/ctaRbEvuf+wEKs7MB0vtWYwmk6jzZEymN2My 8NKzufQIKwmq5IGz4XgfhtnYOdTbhiKdBHFHLV3rRPZzVsf8SZqpB8cxitq/tNOr52Ff/QI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z8H6EcAgAANAQAAA4AAAAAAAAAAAAAAAAALgIAAGRycy9lMm9Eb2MueG1sUEsBAi0A FAAGAAgAAAAhANJG6WvdAAAABQEAAA8AAAAAAAAAAAAAAAAAdgQAAGRycy9kb3ducmV2LnhtbFBL BQYAAAAABAAEAPMAAACABQAAAAA= ">
                <v:textbox style="mso-fit-shape-to-text:t">
                  <w:txbxContent>
                    <w:p w14:paraId="7143F06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32 §</w:t>
                      </w:r>
                    </w:p>
                    <w:p w14:paraId="5669F46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Hautaamisjärjestys</w:t>
                      </w:r>
                    </w:p>
                    <w:p w14:paraId="39D2301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Hautaa luovutettaessa sovitaan siitä, keitä hautaan voidaan haudata. Jos sopimusta ei ole tehty 31 §:n 2 momentin mukaisesti, hautaan voidaan ensisijaisesti haudata vainaja, jota varten hauta on luovutettu, ja tämän puoliso sekä lisäksi kuolemantapausten mukaisessa järjestyksessä suoraan etenevässä tai takenevassa polvessa oleva sukulainen ja tämän puoliso. Jos tällaista sukulaista ei ole tai jos hautaoikeuden haltija siihen suostuu, hautaan saadaan haudata vainajan sisar ja veli sekä heidän lapsensa, sanottujen henkilöiden otto- ja kasvattilapset sekä näiden kaikkien puolisot. </w:t>
                      </w:r>
                    </w:p>
                    <w:p w14:paraId="4F8BDB4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Hautaustoimesta vastaava seurakunnan viranomainen voi hautaoikeuden haltijan suostumuksella antaa luvan haudata hautaan muunkin vainajan. </w:t>
                      </w:r>
                    </w:p>
                  </w:txbxContent>
                </v:textbox>
                <w10:anchorlock/>
              </v:shape>
            </w:pict>
          </mc:Fallback>
        </mc:AlternateContent>
      </w:r>
    </w:p>
    <w:p w14:paraId="6A9654DE" w14:textId="77777777" w:rsidR="004F2B60" w:rsidRPr="004F2B60" w:rsidRDefault="004F2B60" w:rsidP="004F2B60">
      <w:pPr>
        <w:spacing w:before="120" w:after="120" w:line="288" w:lineRule="auto"/>
        <w:rPr>
          <w:rFonts w:asciiTheme="minorHAnsi" w:eastAsia="Calibri" w:hAnsiTheme="minorHAnsi" w:cstheme="minorHAnsi"/>
        </w:rPr>
      </w:pPr>
      <w:r w:rsidRPr="004F2B60">
        <w:rPr>
          <w:rFonts w:asciiTheme="minorHAnsi" w:eastAsia="Calibri" w:hAnsiTheme="minorHAnsi" w:cstheme="minorHAnsi"/>
          <w:noProof/>
          <w:lang w:eastAsia="en-US"/>
        </w:rPr>
        <mc:AlternateContent>
          <mc:Choice Requires="wps">
            <w:drawing>
              <wp:inline distT="0" distB="0" distL="0" distR="0" wp14:anchorId="46D59493" wp14:editId="0AB19DE7">
                <wp:extent cx="5863590" cy="2855595"/>
                <wp:effectExtent l="7620" t="12065" r="5715" b="12700"/>
                <wp:docPr id="4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BEFE2C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37 §</w:t>
                            </w:r>
                          </w:p>
                          <w:p w14:paraId="5CDAFCB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Avopuolison asema</w:t>
                            </w:r>
                          </w:p>
                          <w:p w14:paraId="581E33A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Mitä tämän lain hautaustoimea koskevissa säännöksissä säädetään puolisosta tai leskestä, koskee myös kuolinhetkellä vainajan kanssa avioliitonomaisissa olosuhteissa yhteisessä taloudessa jatkuvasti elänyttä henkilöä.</w:t>
                            </w:r>
                          </w:p>
                        </w:txbxContent>
                      </wps:txbx>
                      <wps:bodyPr rot="0" vert="horz" wrap="square" lIns="91440" tIns="45720" rIns="91440" bIns="45720" anchor="t" anchorCtr="0" upright="1">
                        <a:spAutoFit/>
                      </wps:bodyPr>
                    </wps:wsp>
                  </a:graphicData>
                </a:graphic>
              </wp:inline>
            </w:drawing>
          </mc:Choice>
          <mc:Fallback>
            <w:pict>
              <v:shape w14:anchorId="46D59493" id="_x0000_s104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cyhA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bE8jx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tzKEAcAgAANAQAAA4AAAAAAAAAAAAAAAAALgIAAGRycy9lMm9Eb2MueG1sUEsBAi0A FAAGAAgAAAAhANJG6WvdAAAABQEAAA8AAAAAAAAAAAAAAAAAdgQAAGRycy9kb3ducmV2LnhtbFBL BQYAAAAABAAEAPMAAACABQAAAAA= ">
                <v:textbox style="mso-fit-shape-to-text:t">
                  <w:txbxContent>
                    <w:p w14:paraId="1BEFE2C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37 §</w:t>
                      </w:r>
                    </w:p>
                    <w:p w14:paraId="5CDAFCB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Avopuolison asema</w:t>
                      </w:r>
                    </w:p>
                    <w:p w14:paraId="581E33A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Mitä tämän lain hautaustoimea koskevissa säännöksissä säädetään puolisosta tai leskestä, koskee myös kuolinhetkellä vainajan kanssa avioliitonomaisissa olosuhteissa yhteisessä taloudessa jatkuvasti elänyttä henkilöä.</w:t>
                      </w:r>
                    </w:p>
                  </w:txbxContent>
                </v:textbox>
                <w10:anchorlock/>
              </v:shape>
            </w:pict>
          </mc:Fallback>
        </mc:AlternateContent>
      </w:r>
    </w:p>
    <w:p w14:paraId="2442B599"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15" w:name="_Hlk3202564"/>
      <w:bookmarkStart w:id="16" w:name="_Toc232169015"/>
      <w:r w:rsidRPr="004F2B60">
        <w:rPr>
          <w:rFonts w:asciiTheme="minorHAnsi" w:hAnsiTheme="minorHAnsi" w:cstheme="minorHAnsi"/>
          <w:lang w:eastAsia="en-US"/>
        </w:rPr>
        <w:t>8 § Hautaoikeuden haltija</w:t>
      </w:r>
      <w:bookmarkEnd w:id="16"/>
    </w:p>
    <w:bookmarkEnd w:id="15"/>
    <w:p w14:paraId="2E3D661B" w14:textId="77777777" w:rsidR="004F2B60" w:rsidRPr="004F2B60" w:rsidRDefault="004F2B60" w:rsidP="004F2B60">
      <w:pPr>
        <w:spacing w:before="120" w:after="120" w:line="288" w:lineRule="auto"/>
        <w:rPr>
          <w:rFonts w:asciiTheme="minorHAnsi" w:eastAsia="Calibri" w:hAnsiTheme="minorHAnsi" w:cstheme="minorHAnsi"/>
        </w:rPr>
      </w:pPr>
      <w:r w:rsidRPr="004F2B60">
        <w:rPr>
          <w:rFonts w:asciiTheme="minorHAnsi" w:eastAsia="Calibri" w:hAnsiTheme="minorHAnsi" w:cstheme="minorHAnsi"/>
        </w:rPr>
        <w:t xml:space="preserve">Jos hautaan oikeutettu haluaa uuden haudan luovutuksen yhteydessä sopia hautaoikeuden haltijasta, hänen on tarvittaessa esitettävä sukuselvitys ja hankittava kaikkien täysi-ikäisten hautaan oikeutettujen suostumukset tietyn henkilön määräämiseksi hautaoikeuden haltijaksi. </w:t>
      </w:r>
    </w:p>
    <w:p w14:paraId="0482E424"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Jos sopimusta ei tehdä, </w:t>
      </w:r>
      <w:r w:rsidRPr="004F2B60">
        <w:rPr>
          <w:rFonts w:asciiTheme="minorHAnsi" w:eastAsia="Calibri" w:hAnsiTheme="minorHAnsi" w:cstheme="minorHAnsi"/>
        </w:rPr>
        <w:t xml:space="preserve">uuden haudan luovutuksen yhteydessä </w:t>
      </w:r>
      <w:r w:rsidRPr="004F2B60">
        <w:rPr>
          <w:rFonts w:asciiTheme="minorHAnsi" w:eastAsia="Calibri" w:hAnsiTheme="minorHAnsi" w:cstheme="minorHAnsi"/>
          <w:lang w:eastAsia="en-US"/>
        </w:rPr>
        <w:t>hautaoikeuden haltijaksi merkitään vainajan elossa oleva puoliso tai avopuoliso, jos sellainen on.</w:t>
      </w:r>
    </w:p>
    <w:p w14:paraId="2C76F3C0" w14:textId="77777777" w:rsidR="004F2B60" w:rsidRPr="004F2B60" w:rsidRDefault="004F2B60" w:rsidP="004F2B60">
      <w:pPr>
        <w:spacing w:before="120" w:after="120" w:line="288" w:lineRule="auto"/>
        <w:rPr>
          <w:rFonts w:asciiTheme="minorHAnsi" w:eastAsia="Calibri" w:hAnsiTheme="minorHAnsi" w:cstheme="minorHAnsi"/>
          <w:strike/>
          <w:lang w:eastAsia="en-US"/>
        </w:rPr>
      </w:pPr>
      <w:r w:rsidRPr="004F2B60">
        <w:rPr>
          <w:rFonts w:asciiTheme="minorHAnsi" w:eastAsia="Calibri" w:hAnsiTheme="minorHAnsi" w:cstheme="minorHAnsi"/>
          <w:lang w:eastAsia="en-US"/>
        </w:rPr>
        <w:t xml:space="preserve">Muussa tapauksessa hautaoikeuden haltijaksi merkitään hautaan ensin haudatun vainajan lähimpien perillisten valitsema henkilö. </w:t>
      </w:r>
    </w:p>
    <w:p w14:paraId="6A71C8D7"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5B0359DE" wp14:editId="2A9B8745">
                <wp:extent cx="5863590" cy="2855595"/>
                <wp:effectExtent l="7620" t="12065" r="5715" b="12700"/>
                <wp:docPr id="1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DFE893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31 § 1–2 mom.</w:t>
                            </w:r>
                          </w:p>
                          <w:p w14:paraId="48E35E9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haltija</w:t>
                            </w:r>
                          </w:p>
                          <w:p w14:paraId="55B0D5F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haltija edustaa niitä, joita hautaan voidaan haudata, ja käyttää puhevaltaa hautaa koskevissa asioissa siten kuin hautaustoimilaissa sekä tässä laissa ja sen nojalla säädetään tai määrätään.</w:t>
                            </w:r>
                          </w:p>
                          <w:p w14:paraId="7C0D626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 luovutettaessa sovitaan hautaoikeuden haltijasta. Jos sopimusta ei ole tehty vuoden kuluessa haudan luovutuspäivästä tai jos tehtyä sopimusta ei voida olosuhteiden muuttumisen johdosta noudattaa, hautaoikeuden haltijaksi tulee vainajan leski tai, jos leskeä ei ole, ensimmäiseksi hautaan haudatun vainajan lähimmät perilliset. Näiden on valittava hautaoikeuden haltija edustamaan heitä hautaa koskevissa asioissa. Hautaoikeuden uudesta haltijasta on ilmoitettava hautaustoimesta vastaavalle seurakunnan viranomaiselle.</w:t>
                            </w:r>
                          </w:p>
                        </w:txbxContent>
                      </wps:txbx>
                      <wps:bodyPr rot="0" vert="horz" wrap="square" lIns="91440" tIns="45720" rIns="91440" bIns="45720" anchor="t" anchorCtr="0" upright="1">
                        <a:spAutoFit/>
                      </wps:bodyPr>
                    </wps:wsp>
                  </a:graphicData>
                </a:graphic>
              </wp:inline>
            </w:drawing>
          </mc:Choice>
          <mc:Fallback>
            <w:pict>
              <v:shape w14:anchorId="5B0359DE" id="_x0000_s104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Pd2s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bG8iB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s93awcAgAANAQAAA4AAAAAAAAAAAAAAAAALgIAAGRycy9lMm9Eb2MueG1sUEsBAi0A FAAGAAgAAAAhANJG6WvdAAAABQEAAA8AAAAAAAAAAAAAAAAAdgQAAGRycy9kb3ducmV2LnhtbFBL BQYAAAAABAAEAPMAAACABQAAAAA= ">
                <v:textbox style="mso-fit-shape-to-text:t">
                  <w:txbxContent>
                    <w:p w14:paraId="1DFE893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31 § 1–2 mom.</w:t>
                      </w:r>
                    </w:p>
                    <w:p w14:paraId="48E35E9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haltija</w:t>
                      </w:r>
                    </w:p>
                    <w:p w14:paraId="55B0D5F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haltija edustaa niitä, joita hautaan voidaan haudata, ja käyttää puhevaltaa hautaa koskevissa asioissa siten kuin hautaustoimilaissa sekä tässä laissa ja sen nojalla säädetään tai määrätään.</w:t>
                      </w:r>
                    </w:p>
                    <w:p w14:paraId="7C0D626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 luovutettaessa sovitaan hautaoikeuden haltijasta. Jos sopimusta ei ole tehty vuoden kuluessa haudan luovutuspäivästä tai jos tehtyä sopimusta ei voida olosuhteiden muuttumisen johdosta noudattaa, hautaoikeuden haltijaksi tulee vainajan leski tai, jos leskeä ei ole, ensimmäiseksi hautaan haudatun vainajan lähimmät perilliset. Näiden on valittava hautaoikeuden haltija edustamaan heitä hautaa koskevissa asioissa. Hautaoikeuden uudesta haltijasta on ilmoitettava hautaustoimesta vastaavalle seurakunnan viranomaiselle.</w:t>
                      </w:r>
                    </w:p>
                  </w:txbxContent>
                </v:textbox>
                <w10:anchorlock/>
              </v:shape>
            </w:pict>
          </mc:Fallback>
        </mc:AlternateContent>
      </w:r>
    </w:p>
    <w:p w14:paraId="2A32D3DF"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17" w:name="_Toc164255209"/>
      <w:bookmarkStart w:id="18" w:name="_Hlk12283139"/>
      <w:bookmarkStart w:id="19" w:name="_Toc232169016"/>
      <w:r w:rsidRPr="004F2B60">
        <w:rPr>
          <w:rFonts w:asciiTheme="minorHAnsi" w:hAnsiTheme="minorHAnsi" w:cstheme="minorHAnsi"/>
          <w:lang w:eastAsia="en-US"/>
        </w:rPr>
        <w:t>9 § Ruumiin ja tuhkan käsittely, säilyttäminen ja kuljettaminen</w:t>
      </w:r>
      <w:bookmarkEnd w:id="17"/>
      <w:bookmarkEnd w:id="19"/>
    </w:p>
    <w:p w14:paraId="7AF6DDD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Vainajan ruumiin vastaanottaminen hautaan siunattavaksi ja haudattavaksi tai tuhkattavaksi edellyttää hautauslupaa tai </w:t>
      </w:r>
      <w:proofErr w:type="spellStart"/>
      <w:r w:rsidRPr="004F2B60">
        <w:rPr>
          <w:rFonts w:asciiTheme="minorHAnsi" w:eastAsia="Calibri" w:hAnsiTheme="minorHAnsi" w:cstheme="minorHAnsi"/>
          <w:lang w:eastAsia="en-US"/>
        </w:rPr>
        <w:t>kuolinselvitystä</w:t>
      </w:r>
      <w:proofErr w:type="spellEnd"/>
      <w:r w:rsidRPr="004F2B60">
        <w:rPr>
          <w:rFonts w:asciiTheme="minorHAnsi" w:eastAsia="Calibri" w:hAnsiTheme="minorHAnsi" w:cstheme="minorHAnsi"/>
          <w:lang w:eastAsia="en-US"/>
        </w:rPr>
        <w:t>. Tarvittaessa seurakunta toimittaa hautausluvan edelleen hautausmaan tai krematorion ylläpitäjälle.</w:t>
      </w:r>
    </w:p>
    <w:bookmarkEnd w:id="18"/>
    <w:p w14:paraId="6BA9540C"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Ruumis säilytetään ennen hautaamista suljetussa arkussa vainajien säilytystilassa, jonne sivullisilla ei ole vapaa pääsy. Arkkuun merkitään vainajan nimi. Tilan käyttäjät huolehtivat vainajien tietojen kirjaamisesta seurakunnan erikseen määräämällä tavalla.</w:t>
      </w:r>
    </w:p>
    <w:p w14:paraId="5A0A538F"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Tuhkattavan vainajan on oltava tuhkausprosessiin soveltuvassa arkussa, jonka poltto-ominaisuudet mahdollistavat tuhkausprosessin etenemisen.</w:t>
      </w:r>
    </w:p>
    <w:p w14:paraId="593470E3"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Hautausjärjestelyistä huolehtiva henkilö voi sopia seurakunnan kanssa vainajan näytöstä lähiomaisille seurakunnan tiloissa, jos näyttö voi tapahtua turvallisesti eikä siihen ole estettä.</w:t>
      </w:r>
    </w:p>
    <w:p w14:paraId="4BDB896F" w14:textId="77777777" w:rsidR="004F2B60" w:rsidRPr="004F2B60" w:rsidRDefault="004F2B60" w:rsidP="004F2B60">
      <w:pPr>
        <w:spacing w:before="120" w:after="120" w:line="288" w:lineRule="auto"/>
        <w:rPr>
          <w:rFonts w:asciiTheme="minorHAnsi" w:eastAsia="Calibri" w:hAnsiTheme="minorHAnsi" w:cstheme="minorHAnsi"/>
          <w:color w:val="000000"/>
          <w:lang w:eastAsia="en-US"/>
        </w:rPr>
      </w:pPr>
      <w:r w:rsidRPr="004F2B60">
        <w:rPr>
          <w:rFonts w:asciiTheme="minorHAnsi" w:eastAsia="Calibri" w:hAnsiTheme="minorHAnsi" w:cstheme="minorHAnsi"/>
          <w:lang w:eastAsia="en-US"/>
        </w:rPr>
        <w:t>Terveydensuojelu- tai muusta syystä tai o</w:t>
      </w:r>
      <w:r w:rsidRPr="004F2B60">
        <w:rPr>
          <w:rFonts w:asciiTheme="minorHAnsi" w:eastAsia="Calibri" w:hAnsiTheme="minorHAnsi" w:cstheme="minorHAnsi"/>
          <w:color w:val="000000"/>
          <w:lang w:eastAsia="en-US"/>
        </w:rPr>
        <w:t xml:space="preserve">maisten pyynnöstä </w:t>
      </w:r>
      <w:r w:rsidRPr="004F2B60">
        <w:rPr>
          <w:rFonts w:asciiTheme="minorHAnsi" w:eastAsia="Calibri" w:hAnsiTheme="minorHAnsi" w:cstheme="minorHAnsi"/>
          <w:lang w:eastAsia="en-US"/>
        </w:rPr>
        <w:t>ruumis voidaan siirtää hautaan ennen hautaan siunaamista</w:t>
      </w:r>
      <w:r w:rsidRPr="004F2B60">
        <w:rPr>
          <w:rFonts w:asciiTheme="minorHAnsi" w:eastAsia="Calibri" w:hAnsiTheme="minorHAnsi" w:cstheme="minorHAnsi"/>
          <w:color w:val="000000"/>
          <w:lang w:eastAsia="en-US"/>
        </w:rPr>
        <w:t>. Tällöin hauta peitetään viipymättä vähintään arkun korkeudelta.</w:t>
      </w:r>
    </w:p>
    <w:p w14:paraId="4034406A"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Mikäli hautausjärjestelyistä huolehtinut henkilö tai muu vainajan omainen ei ole huolehtinut vainajan tuhkan hautaamisesta vuoden kuluessa tuhkaamisesta, krematorion tai hautausmaan ylläpitäjä hautausjärjestelyistä huolehtinutta henkilöä kuultuaan hautaa tuhkan muistolehtoon.</w:t>
      </w:r>
    </w:p>
    <w:p w14:paraId="2F97FB3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2BA131F1" wp14:editId="6205B627">
                <wp:extent cx="5863590" cy="2855595"/>
                <wp:effectExtent l="7620" t="12065" r="5715" b="12700"/>
                <wp:docPr id="1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3D42F3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Asetus kuolemansyyn selvittämisestä 22 a § 1 mom.</w:t>
                            </w:r>
                          </w:p>
                          <w:p w14:paraId="2E25456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Sosiaali- tai terveydenhuollon toimintayksikkö, Terveyden ja hyvinvoinnin laitos taikka muu vainajan ruumista säilyttävä taho saa luovuttaa vainajan ruumiin haudattavaksi tai tuhkattavaksi, kun lääkäri on laatinut hautausluvan tai kuolinselvitys on laadittu, ja se on annettu sille, joka on ilmoittanut huolehtivansa vainajan hautaamisesta tai tuhkaamisesta, taikka sille, joka hautauksesta tai tuhkauksesta huolehtivan toimeksiannosta hoitaa hautaukseen tai tuhkaukseen liittyviä käytännön järjestelyjä.</w:t>
                            </w:r>
                          </w:p>
                        </w:txbxContent>
                      </wps:txbx>
                      <wps:bodyPr rot="0" vert="horz" wrap="square" lIns="91440" tIns="45720" rIns="91440" bIns="45720" anchor="t" anchorCtr="0" upright="1">
                        <a:spAutoFit/>
                      </wps:bodyPr>
                    </wps:wsp>
                  </a:graphicData>
                </a:graphic>
              </wp:inline>
            </w:drawing>
          </mc:Choice>
          <mc:Fallback>
            <w:pict>
              <v:shape w14:anchorId="2BA131F1" id="_x0000_s104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4nnrHA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VfJxoiASu4HqQNQiDNKlr0ZGA/iTs45kW3L/YydQcWY+WBrPYjSZRJ0nZzK9ISCG l5HNZURYSVAlD5wN5n0Y/sbOod429NJJEHc00rVOZD9XdayfpJlmcPxGUfuXfsp6/uyr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TieescAgAANAQAAA4AAAAAAAAAAAAAAAAALgIAAGRycy9lMm9Eb2MueG1sUEsBAi0A FAAGAAgAAAAhANJG6WvdAAAABQEAAA8AAAAAAAAAAAAAAAAAdgQAAGRycy9kb3ducmV2LnhtbFBL BQYAAAAABAAEAPMAAACABQAAAAA= ">
                <v:textbox style="mso-fit-shape-to-text:t">
                  <w:txbxContent>
                    <w:p w14:paraId="73D42F3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Asetus kuolemansyyn selvittämisestä 22 a § 1 mom.</w:t>
                      </w:r>
                    </w:p>
                    <w:p w14:paraId="2E25456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Sosiaali- tai terveydenhuollon toimintayksikkö, Terveyden ja hyvinvoinnin laitos taikka muu vainajan ruumista säilyttävä taho saa luovuttaa vainajan ruumiin haudattavaksi tai tuhkattavaksi, kun lääkäri on laatinut hautausluvan tai kuolinselvitys on laadittu, ja se on annettu sille, joka on ilmoittanut huolehtivansa vainajan hautaamisesta tai tuhkaamisesta, taikka sille, joka hautauksesta tai tuhkauksesta huolehtivan toimeksiannosta hoitaa hautaukseen tai tuhkaukseen liittyviä käytännön järjestelyjä.</w:t>
                      </w:r>
                    </w:p>
                  </w:txbxContent>
                </v:textbox>
                <w10:anchorlock/>
              </v:shape>
            </w:pict>
          </mc:Fallback>
        </mc:AlternateContent>
      </w:r>
    </w:p>
    <w:p w14:paraId="748D95F1"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1029DA93" wp14:editId="30B2FC2A">
                <wp:extent cx="5863590" cy="2855595"/>
                <wp:effectExtent l="7620" t="12065" r="5715" b="12700"/>
                <wp:docPr id="2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7C4C73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19 §</w:t>
                            </w:r>
                          </w:p>
                          <w:p w14:paraId="131A621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Tuhkan hautaaminen tai sijoittaminen muulla tavoin</w:t>
                            </w:r>
                          </w:p>
                          <w:p w14:paraId="7632DF0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Tuhka on vuoden kuluessa tuhkaamisesta haudattava tai muulla tavoin sijoitettava pysyvästi yhteen paikkaan. Jolleivät 23 §:ssä tarkoitetut henkilöt tämän jälkeen kehotuksesta huolimatta huolehdi tuhkasta, sijoitetaan tuhka vainajan kuolinpesän kustannuksella sille hautausmaalle, johon vainajalla on oikeus tulla haudatuksi.</w:t>
                            </w:r>
                          </w:p>
                          <w:p w14:paraId="18A3105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Tuhkan sijoittamiseen on oltava alueen omistajan tai haltijan suostumus.</w:t>
                            </w:r>
                          </w:p>
                        </w:txbxContent>
                      </wps:txbx>
                      <wps:bodyPr rot="0" vert="horz" wrap="square" lIns="91440" tIns="45720" rIns="91440" bIns="45720" anchor="t" anchorCtr="0" upright="1">
                        <a:spAutoFit/>
                      </wps:bodyPr>
                    </wps:wsp>
                  </a:graphicData>
                </a:graphic>
              </wp:inline>
            </w:drawing>
          </mc:Choice>
          <mc:Fallback>
            <w:pict>
              <v:shape w14:anchorId="1029DA93" id="_x0000_s104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rIwHHA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VfJxojkSu4HqQNQiDNKlr0ZGA/iTs45kW3L/YydQcWY+WBrPYjSZRJ0nZzK9GZOD l5HNZURYSVAlD5wN5n0Y/sbOod429NJJEHc00rVOZD9XdayfpJlmcPxGUfuXfsp6/uyr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SsjAccAgAANAQAAA4AAAAAAAAAAAAAAAAALgIAAGRycy9lMm9Eb2MueG1sUEsBAi0A FAAGAAgAAAAhANJG6WvdAAAABQEAAA8AAAAAAAAAAAAAAAAAdgQAAGRycy9kb3ducmV2LnhtbFBL BQYAAAAABAAEAPMAAACABQAAAAA= ">
                <v:textbox style="mso-fit-shape-to-text:t">
                  <w:txbxContent>
                    <w:p w14:paraId="37C4C73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19 §</w:t>
                      </w:r>
                    </w:p>
                    <w:p w14:paraId="131A621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Tuhkan hautaaminen tai sijoittaminen muulla tavoin</w:t>
                      </w:r>
                    </w:p>
                    <w:p w14:paraId="7632DF0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Tuhka on vuoden kuluessa tuhkaamisesta haudattava tai muulla tavoin sijoitettava pysyvästi yhteen paikkaan. Jolleivät 23 §:ssä tarkoitetut henkilöt tämän jälkeen kehotuksesta huolimatta huolehdi tuhkasta, sijoitetaan tuhka vainajan kuolinpesän kustannuksella sille hautausmaalle, johon vainajalla on oikeus tulla haudatuksi.</w:t>
                      </w:r>
                    </w:p>
                    <w:p w14:paraId="18A3105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Tuhkan sijoittamiseen on oltava alueen omistajan tai haltijan suostumus.</w:t>
                      </w:r>
                    </w:p>
                  </w:txbxContent>
                </v:textbox>
                <w10:anchorlock/>
              </v:shape>
            </w:pict>
          </mc:Fallback>
        </mc:AlternateContent>
      </w:r>
    </w:p>
    <w:p w14:paraId="76BE2F64"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5D80AB07" wp14:editId="2C2E083B">
                <wp:extent cx="5863590" cy="2855595"/>
                <wp:effectExtent l="7620" t="12065" r="5715" b="12700"/>
                <wp:docPr id="2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D331BD5" w14:textId="3C15960C"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Kirkkojärjestys 3 luku 55 § 3 </w:t>
                            </w:r>
                            <w:r w:rsidR="001B3D72" w:rsidRPr="004F2B60">
                              <w:rPr>
                                <w:rFonts w:asciiTheme="minorHAnsi" w:hAnsiTheme="minorHAnsi" w:cstheme="minorHAnsi"/>
                                <w:sz w:val="21"/>
                                <w:szCs w:val="21"/>
                              </w:rPr>
                              <w:t>mom.</w:t>
                            </w:r>
                          </w:p>
                          <w:p w14:paraId="2CBFADD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 ja vainajien säilytystila</w:t>
                            </w:r>
                          </w:p>
                          <w:p w14:paraId="507D0DD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Seurakunnalla tulee olla säilytystila vainajia varten hautausmaalla tai muualla sopivassa paikassa.</w:t>
                            </w:r>
                          </w:p>
                        </w:txbxContent>
                      </wps:txbx>
                      <wps:bodyPr rot="0" vert="horz" wrap="square" lIns="91440" tIns="45720" rIns="91440" bIns="45720" anchor="t" anchorCtr="0" upright="1">
                        <a:spAutoFit/>
                      </wps:bodyPr>
                    </wps:wsp>
                  </a:graphicData>
                </a:graphic>
              </wp:inline>
            </w:drawing>
          </mc:Choice>
          <mc:Fallback>
            <w:pict>
              <v:shape w14:anchorId="5D80AB07" id="_x0000_s104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eeLpHAIAADQEAAAOAAAAZHJzL2Uyb0RvYy54bWysU9uO2yAQfa/Uf0C8N3a8STax4qy22aaq tL1I234AxthGxUAHEjv9+g44yUbb9qUqD4hh4MzMmTPru6FT5CDASaMLOp2klAjNTSV1U9BvX3dv lpQ4z3TFlNGioEfh6N3m9at1b3ORmdaoSgBBEO3y3ha09d7mSeJ4KzrmJsYKjc7aQMc8mtAkFbAe 0TuVZGm6SHoDlQXDhXN4+zA66Sbi17Xg/nNdO+GJKijm5uMOcS/DnmzWLG+A2VbyUxrsH7LomNQY 9AL1wDwje5C/QXWSg3Gm9hNuusTUteQi1oDVTNMX1Ty1zIpYC5Lj7IUm9/9g+afDk/0CxA9vzYAN jEU4+2j4d0e02bZMN+IewPStYBUGngbKkt66/PQ1UO1yF0DK/qOpsMls700EGmroAitYJ0F0bMDx QroYPOF4OV8ubuYrdHH03aS36XIR25Kw/PzdgvPvhelIOBQUsKsRnh0enQ/psPz8JERzRslqJ5WK BjTlVgE5MFTALq5YwYtnSpO+oKt5Nh8Z+CtEGtefIDrpUcpKdgVdXh6xPPD2TldRaJ5JNZ4xZaVP RAbuRhb9UA5EVgXNshAhEFua6ojUghmli6OGh9bAT0p6lG1B3Y89A0GJ+qCxPavpbBZ0Ho3Z/DZD A6495bWHaY5QBfWUjMetH2djb0E2LUY6C+IeW7qTkeznrE75ozRjD05jFLR/bcdXz8O++QU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V54ukcAgAANAQAAA4AAAAAAAAAAAAAAAAALgIAAGRycy9lMm9Eb2MueG1sUEsBAi0A FAAGAAgAAAAhANJG6WvdAAAABQEAAA8AAAAAAAAAAAAAAAAAdgQAAGRycy9kb3ducmV2LnhtbFBL BQYAAAAABAAEAPMAAACABQAAAAA= ">
                <v:textbox style="mso-fit-shape-to-text:t">
                  <w:txbxContent>
                    <w:p w14:paraId="7D331BD5" w14:textId="3C15960C"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Kirkkojärjestys 3 luku 55 § 3 </w:t>
                      </w:r>
                      <w:r w:rsidR="001B3D72" w:rsidRPr="004F2B60">
                        <w:rPr>
                          <w:rFonts w:asciiTheme="minorHAnsi" w:hAnsiTheme="minorHAnsi" w:cstheme="minorHAnsi"/>
                          <w:sz w:val="21"/>
                          <w:szCs w:val="21"/>
                        </w:rPr>
                        <w:t>mom.</w:t>
                      </w:r>
                    </w:p>
                    <w:p w14:paraId="2CBFADD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 ja vainajien säilytystila</w:t>
                      </w:r>
                    </w:p>
                    <w:p w14:paraId="507D0DD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Seurakunnalla tulee olla säilytystila vainajia varten hautausmaalla tai muualla sopivassa paikassa.</w:t>
                      </w:r>
                    </w:p>
                  </w:txbxContent>
                </v:textbox>
                <w10:anchorlock/>
              </v:shape>
            </w:pict>
          </mc:Fallback>
        </mc:AlternateContent>
      </w:r>
    </w:p>
    <w:p w14:paraId="792CFE7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7CFE8D5B" wp14:editId="4C81D8AA">
                <wp:extent cx="5863590" cy="2855595"/>
                <wp:effectExtent l="7620" t="12065" r="5715" b="12700"/>
                <wp:docPr id="2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2186FE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2 §</w:t>
                            </w:r>
                          </w:p>
                          <w:p w14:paraId="7E8AE0D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Yleiset velvollisuudet</w:t>
                            </w:r>
                          </w:p>
                          <w:p w14:paraId="30DF863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Vainajan ruumis on ilman aiheetonta viivytystä haudattava tai tuhkattava.</w:t>
                            </w:r>
                          </w:p>
                          <w:p w14:paraId="0A2D1074"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Vainajan ruumista ja tuhkaa tulee käsitellä arvokkaalla ja vainajan muistoa kunnioittavalla tavalla.</w:t>
                            </w:r>
                          </w:p>
                          <w:p w14:paraId="7DDCDA2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Vainajan ruumiin hautaamisessa ja tuhkaamisessa sekä tuhkan käsittelyssä tulee kunnioittaa vainajan katsomusta ja toivomuksia. </w:t>
                            </w:r>
                          </w:p>
                        </w:txbxContent>
                      </wps:txbx>
                      <wps:bodyPr rot="0" vert="horz" wrap="square" lIns="91440" tIns="45720" rIns="91440" bIns="45720" anchor="t" anchorCtr="0" upright="1">
                        <a:spAutoFit/>
                      </wps:bodyPr>
                    </wps:wsp>
                  </a:graphicData>
                </a:graphic>
              </wp:inline>
            </w:drawing>
          </mc:Choice>
          <mc:Fallback>
            <w:pict>
              <v:shape w14:anchorId="7CFE8D5B" id="_x0000_s104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NxcFHQIAADQEAAAOAAAAZHJzL2Uyb0RvYy54bWysU9tu2zAMfR+wfxD0vthJmjQ14hRduwwD ugvQ7QNkWY6FyaJGKbG7rx8lJ2nRbS/D9CCIonRIHh6ur4fOsINCr8GWfDrJOVNWQq3truTfvm7f rDjzQdhaGLCq5I/K8+vN61fr3hVqBi2YWiEjEOuL3pW8DcEVWeZlqzrhJ+CUJWcD2IlAJu6yGkVP 6J3JZnm+zHrA2iFI5T3d3o1Ovkn4TaNk+Nw0XgVmSk65hbRj2qu4Z5u1KHYoXKvlMQ3xD1l0QlsK eoa6E0GwPerfoDotETw0YSKhy6BptFSpBqpmmr+o5qEVTqVaiBzvzjT5/wcrPx0e3BdkYXgLAzUw FeHdPcjvnlm4bYXdqRtE6Fslago8jZRlvfPF8Wuk2hc+glT9R6ipyWIfIAENDXaRFaqTETo14PFM uhoCk3S5WC3niytySfLN88t8tUxtyURx+u7Qh/cKOhYPJUfqaoIXh3sfYjqiOD2J0TwYXW+1McnA XXVrkB0EKWCbVqrgxTNjWV/yq8VsMTLwV4g8rT9BdDqQlI3uSr46PxJF5O2drZPQgtBmPFPKxh6J jNyNLIahGpiuSz6bxwiR2ArqR6IWYZQujRodWsCfnPUk25L7H3uBijPzwVJ7rqYXF1HnybhYXM7I wOee6rlHWElQJQ+cjcfbMM7G3qHetRTpJIgbaulWJ7KfsjrmT9JMPTiOUdT+czu9ehr2zS8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DFNxcFHQIAADQEAAAOAAAAAAAAAAAAAAAAAC4CAABkcnMvZTJvRG9jLnhtbFBLAQIt ABQABgAIAAAAIQDSRulr3QAAAAUBAAAPAAAAAAAAAAAAAAAAAHcEAABkcnMvZG93bnJldi54bWxQ SwUGAAAAAAQABADzAAAAgQUAAAAA ">
                <v:textbox style="mso-fit-shape-to-text:t">
                  <w:txbxContent>
                    <w:p w14:paraId="02186FE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2 §</w:t>
                      </w:r>
                    </w:p>
                    <w:p w14:paraId="7E8AE0D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Yleiset velvollisuudet</w:t>
                      </w:r>
                    </w:p>
                    <w:p w14:paraId="30DF863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Vainajan ruumis on ilman aiheetonta viivytystä haudattava tai tuhkattava.</w:t>
                      </w:r>
                    </w:p>
                    <w:p w14:paraId="0A2D1074"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Vainajan ruumista ja tuhkaa tulee käsitellä arvokkaalla ja vainajan muistoa kunnioittavalla tavalla.</w:t>
                      </w:r>
                    </w:p>
                    <w:p w14:paraId="7DDCDA2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Vainajan ruumiin hautaamisessa ja tuhkaamisessa sekä tuhkan käsittelyssä tulee kunnioittaa vainajan katsomusta ja toivomuksia. </w:t>
                      </w:r>
                    </w:p>
                  </w:txbxContent>
                </v:textbox>
                <w10:anchorlock/>
              </v:shape>
            </w:pict>
          </mc:Fallback>
        </mc:AlternateContent>
      </w:r>
    </w:p>
    <w:p w14:paraId="4E2A43A4"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2C61CE4C" wp14:editId="3F33F999">
                <wp:extent cx="5863590" cy="2855595"/>
                <wp:effectExtent l="7620" t="12065" r="5715" b="12700"/>
                <wp:docPr id="2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C9732B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Terveydensuojeluasetus 41 §</w:t>
                            </w:r>
                          </w:p>
                          <w:p w14:paraId="0F82188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Ruumiin käsittely, säilyttäminen ja kuljettaminen</w:t>
                            </w:r>
                          </w:p>
                          <w:p w14:paraId="0CF4092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Jos vainaja on sairastanut tarttuvaa tautia ja tartunnan vaara on edelleen olemassa, on vainajan kuolinsyyn selvittäjän ilmoitettava tästä ruumista käsittelevälle.</w:t>
                            </w:r>
                          </w:p>
                          <w:p w14:paraId="090EE3C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Muualla kuin sairaalan tiloissa ruumis on säilytettävä asianmukaisessa tiiviissä arkussa tai vastaavassa ennen hautaamista.</w:t>
                            </w:r>
                          </w:p>
                          <w:p w14:paraId="1B45D46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Ruumiin kuljettaminen on sallittua vain siihen tarkoitukseen varatussa kulkuneuvossa.</w:t>
                            </w:r>
                          </w:p>
                          <w:p w14:paraId="60F2AF0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Ruumiinkuljettamisesta valtioiden välillä säädetään erikseen.</w:t>
                            </w:r>
                          </w:p>
                        </w:txbxContent>
                      </wps:txbx>
                      <wps:bodyPr rot="0" vert="horz" wrap="square" lIns="91440" tIns="45720" rIns="91440" bIns="45720" anchor="t" anchorCtr="0" upright="1">
                        <a:spAutoFit/>
                      </wps:bodyPr>
                    </wps:wsp>
                  </a:graphicData>
                </a:graphic>
              </wp:inline>
            </w:drawing>
          </mc:Choice>
          <mc:Fallback>
            <w:pict>
              <v:shape w14:anchorId="2C61CE4C" id="_x0000_s105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1E7uHQ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STaYwQid1CdSRqEQbp0qjRoQH8yVlHsi25/7EXqDgzHyy152Y8nUadJ2M6u56Q gZee7aVHWElQJQ+cDcd1GGZj71DvGor0JIg7aulGJ7KfszrlT9JMPTiN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Bm1E7uHQIAADQEAAAOAAAAAAAAAAAAAAAAAC4CAABkcnMvZTJvRG9jLnhtbFBLAQIt ABQABgAIAAAAIQDSRulr3QAAAAUBAAAPAAAAAAAAAAAAAAAAAHcEAABkcnMvZG93bnJldi54bWxQ SwUGAAAAAAQABADzAAAAgQUAAAAA ">
                <v:textbox style="mso-fit-shape-to-text:t">
                  <w:txbxContent>
                    <w:p w14:paraId="3C9732B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Terveydensuojeluasetus 41 §</w:t>
                      </w:r>
                    </w:p>
                    <w:p w14:paraId="0F82188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Ruumiin käsittely, säilyttäminen ja kuljettaminen</w:t>
                      </w:r>
                    </w:p>
                    <w:p w14:paraId="0CF4092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Jos vainaja on sairastanut tarttuvaa tautia ja tartunnan vaara on edelleen olemassa, on vainajan kuolinsyyn selvittäjän ilmoitettava tästä ruumista käsittelevälle.</w:t>
                      </w:r>
                    </w:p>
                    <w:p w14:paraId="090EE3C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Muualla kuin sairaalan tiloissa ruumis on säilytettävä asianmukaisessa tiiviissä arkussa tai vastaavassa ennen hautaamista.</w:t>
                      </w:r>
                    </w:p>
                    <w:p w14:paraId="1B45D46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Ruumiin kuljettaminen on sallittua vain siihen tarkoitukseen varatussa kulkuneuvossa.</w:t>
                      </w:r>
                    </w:p>
                    <w:p w14:paraId="60F2AF0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Ruumiinkuljettamisesta valtioiden välillä säädetään erikseen.</w:t>
                      </w:r>
                    </w:p>
                  </w:txbxContent>
                </v:textbox>
                <w10:anchorlock/>
              </v:shape>
            </w:pict>
          </mc:Fallback>
        </mc:AlternateContent>
      </w:r>
    </w:p>
    <w:p w14:paraId="4671B788"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47FB4111" wp14:editId="0CFC04E4">
                <wp:extent cx="5863590" cy="2855595"/>
                <wp:effectExtent l="7620" t="12065" r="5715" b="12700"/>
                <wp:docPr id="2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A4CBB02" w14:textId="5CE83614"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Kirkkojärjestys 3 luku 13 § 1 </w:t>
                            </w:r>
                            <w:r w:rsidR="001B3D72" w:rsidRPr="004F2B60">
                              <w:rPr>
                                <w:rFonts w:asciiTheme="minorHAnsi" w:hAnsiTheme="minorHAnsi" w:cstheme="minorHAnsi"/>
                                <w:sz w:val="21"/>
                                <w:szCs w:val="21"/>
                              </w:rPr>
                              <w:t>mom.</w:t>
                            </w:r>
                          </w:p>
                          <w:p w14:paraId="1CAF268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Hautaan siunaaminen</w:t>
                            </w:r>
                          </w:p>
                          <w:p w14:paraId="0664D02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Hautaan siunaamisen toimittaa pappi kirkossa tai siunauskappelissa, kappelissa, haudalla taikka vainajan kotona sen mukaan kuin hautauksesta huolehtivat henkilöt siitä papin kanssa sopivat.</w:t>
                            </w:r>
                          </w:p>
                        </w:txbxContent>
                      </wps:txbx>
                      <wps:bodyPr rot="0" vert="horz" wrap="square" lIns="91440" tIns="45720" rIns="91440" bIns="45720" anchor="t" anchorCtr="0" upright="1">
                        <a:spAutoFit/>
                      </wps:bodyPr>
                    </wps:wsp>
                  </a:graphicData>
                </a:graphic>
              </wp:inline>
            </w:drawing>
          </mc:Choice>
          <mc:Fallback>
            <w:pict>
              <v:shape w14:anchorId="47FB4111" id="_x0000_s105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mrsCHA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VXIqgy5EYjdQHYhahEG69NXIaAB/ctaRbEvuf+wEKs7MB0vjWYwmk6jz5EymN2Ny 8DKyuYwIKwmq5IGzwbwPw9/YOdTbhl46CeKORrrWieznqo71kzTTDI7fKGr/0k9Zz5999Qs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aauwIcAgAANAQAAA4AAAAAAAAAAAAAAAAALgIAAGRycy9lMm9Eb2MueG1sUEsBAi0A FAAGAAgAAAAhANJG6WvdAAAABQEAAA8AAAAAAAAAAAAAAAAAdgQAAGRycy9kb3ducmV2LnhtbFBL BQYAAAAABAAEAPMAAACABQAAAAA= ">
                <v:textbox style="mso-fit-shape-to-text:t">
                  <w:txbxContent>
                    <w:p w14:paraId="6A4CBB02" w14:textId="5CE83614"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Kirkkojärjestys 3 luku 13 § 1 </w:t>
                      </w:r>
                      <w:r w:rsidR="001B3D72" w:rsidRPr="004F2B60">
                        <w:rPr>
                          <w:rFonts w:asciiTheme="minorHAnsi" w:hAnsiTheme="minorHAnsi" w:cstheme="minorHAnsi"/>
                          <w:sz w:val="21"/>
                          <w:szCs w:val="21"/>
                        </w:rPr>
                        <w:t>mom.</w:t>
                      </w:r>
                    </w:p>
                    <w:p w14:paraId="1CAF268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Hautaan siunaaminen</w:t>
                      </w:r>
                    </w:p>
                    <w:p w14:paraId="0664D02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Hautaan siunaamisen toimittaa pappi kirkossa tai siunauskappelissa, kappelissa, haudalla taikka vainajan kotona sen mukaan kuin hautauksesta huolehtivat henkilöt siitä papin kanssa sopivat.</w:t>
                      </w:r>
                    </w:p>
                  </w:txbxContent>
                </v:textbox>
                <w10:anchorlock/>
              </v:shape>
            </w:pict>
          </mc:Fallback>
        </mc:AlternateContent>
      </w:r>
    </w:p>
    <w:p w14:paraId="139AA4CA"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20" w:name="_Hlk534292887"/>
      <w:bookmarkStart w:id="21" w:name="_Toc232169017"/>
      <w:bookmarkEnd w:id="3"/>
      <w:bookmarkEnd w:id="4"/>
      <w:r w:rsidRPr="004F2B60">
        <w:rPr>
          <w:rFonts w:asciiTheme="minorHAnsi" w:hAnsiTheme="minorHAnsi" w:cstheme="minorHAnsi"/>
          <w:lang w:eastAsia="en-US"/>
        </w:rPr>
        <w:lastRenderedPageBreak/>
        <w:t>10 § Hautaaminen</w:t>
      </w:r>
      <w:bookmarkEnd w:id="21"/>
    </w:p>
    <w:p w14:paraId="2EB09EB1"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Hauta kaivetaan hautakartan määräämään paikkaan. Kaivannon leveys ja pituus määräytyvät arkun tai uurnan suuruuden mukaan siten, että arkku tai uurna mahtuu riittävän väljästi laskeutumaan vaakasuorassa asennossa haudan pohjalle. Kaivanto tuetaan asianmukaisesti olosuhteiden edellyttämällä tavalla.</w:t>
      </w:r>
    </w:p>
    <w:p w14:paraId="48C4C6D0"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Haudalla olevat hautamuistomerkit ja mahdolliset haudan reunat on hautaoikeuden haltijan tai haudan asiakkaan kustannuksella siirrettävä syrjään </w:t>
      </w:r>
      <w:r w:rsidRPr="004F2B60">
        <w:rPr>
          <w:rFonts w:asciiTheme="minorHAnsi" w:eastAsia="Calibri" w:hAnsiTheme="minorHAnsi" w:cstheme="minorHAnsi"/>
          <w:color w:val="000000" w:themeColor="text1"/>
          <w:lang w:eastAsia="en-US"/>
        </w:rPr>
        <w:t>viimeistään</w:t>
      </w:r>
      <w:r w:rsidRPr="004F2B60">
        <w:rPr>
          <w:rFonts w:asciiTheme="minorHAnsi" w:eastAsia="Calibri" w:hAnsiTheme="minorHAnsi" w:cstheme="minorHAnsi"/>
          <w:color w:val="00B050"/>
          <w:lang w:eastAsia="en-US"/>
        </w:rPr>
        <w:t xml:space="preserve"> </w:t>
      </w:r>
      <w:r w:rsidRPr="004F2B60">
        <w:rPr>
          <w:rFonts w:asciiTheme="minorHAnsi" w:eastAsia="Calibri" w:hAnsiTheme="minorHAnsi" w:cstheme="minorHAnsi"/>
          <w:lang w:eastAsia="en-US"/>
        </w:rPr>
        <w:t>seitsemän vuorokautta ennen hautausta ja hautauksen jälkeen asetettava paikoilleen siten, että muistomerkki ei vaaranna turvallisuutta.</w:t>
      </w:r>
    </w:p>
    <w:p w14:paraId="400C039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Haudan kaivamisen aikana esille tulevat aikaisemmin haudatun vainajan jäännökset suojataan ja sen jälkeen peitetään kaivannon pohjalle. Jos hautaa avattaessa esille tulee maatumaton arkku tai vainaja, haudan kaivu keskeytetään, kaivanto peitetään ja hautausjärjestelyistä huolehtivan henkilön kanssa sovitaan muu hautasija.</w:t>
      </w:r>
    </w:p>
    <w:p w14:paraId="27F26C28"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Syvähauta-alueella arkkuhautapaikan ensimmäinen hautaus tapahtuu aina alempaan hautasijaan, ellei siihen ole paikan maa- tai kallioperästä johtuvaa estettä.</w:t>
      </w:r>
    </w:p>
    <w:p w14:paraId="1A2C0C21"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Tilapäisen haitan aiheuttaminen viereisille haudoille ei ole esteenä haudan avaamiselle.</w:t>
      </w:r>
    </w:p>
    <w:p w14:paraId="26DA206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Ruumis on haudattava helposti maatuvassa arkussa. Tuhka on haudattava helposti maatuvassa uurnassa tai ilman uurnaa.</w:t>
      </w:r>
    </w:p>
    <w:p w14:paraId="191A2E7E"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Hauta peitetään arkun hautaan laskun jälkeen ilman aiheetonta viivytystä.</w:t>
      </w:r>
    </w:p>
    <w:p w14:paraId="1C766327" w14:textId="77777777" w:rsidR="004F2B60" w:rsidRPr="004F2B60" w:rsidRDefault="004F2B60" w:rsidP="004F2B60">
      <w:pPr>
        <w:spacing w:before="120" w:after="120" w:line="288" w:lineRule="auto"/>
        <w:rPr>
          <w:rFonts w:asciiTheme="minorHAnsi" w:eastAsia="Calibri" w:hAnsiTheme="minorHAnsi" w:cstheme="minorHAnsi"/>
          <w:color w:val="00B050"/>
          <w:lang w:eastAsia="en-US"/>
        </w:rPr>
      </w:pPr>
      <w:r w:rsidRPr="004F2B60">
        <w:rPr>
          <w:rFonts w:asciiTheme="minorHAnsi" w:eastAsia="Calibri" w:hAnsiTheme="minorHAnsi" w:cstheme="minorHAnsi"/>
          <w:lang w:eastAsia="en-US"/>
        </w:rPr>
        <w:t>Omaisten on huolehdittava haudalle laskettujen kukkalaitteiden poistamisesta seitsemän päivän kuluessa hautauksesta tai tuhkattavan vainajan siunauksesta, minkä jälkeen hautausmaan henkilökunnalla on oikeus poistaa ja hävittää kukkalaitteet muistonauhoineen ja -kortteineen.</w:t>
      </w:r>
    </w:p>
    <w:p w14:paraId="04C69EAC"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Arkun ja tuhkan hautausta valvoo aina hautaustoimen tai seurakunnan työntekijä.</w:t>
      </w:r>
    </w:p>
    <w:p w14:paraId="52C1D53F" w14:textId="77777777" w:rsidR="004F2B60" w:rsidRPr="004F2B60" w:rsidRDefault="004F2B60" w:rsidP="004F2B60">
      <w:pPr>
        <w:spacing w:before="120" w:after="120" w:line="288" w:lineRule="auto"/>
        <w:rPr>
          <w:rFonts w:asciiTheme="minorHAnsi" w:eastAsia="Calibri" w:hAnsiTheme="minorHAnsi" w:cstheme="minorHAnsi"/>
          <w:color w:val="00B050"/>
          <w:lang w:eastAsia="en-US"/>
        </w:rPr>
      </w:pPr>
      <w:r w:rsidRPr="004F2B60">
        <w:rPr>
          <w:rFonts w:asciiTheme="minorHAnsi" w:eastAsia="Calibri" w:hAnsiTheme="minorHAnsi" w:cstheme="minorHAnsi"/>
          <w:lang w:eastAsia="en-US"/>
        </w:rPr>
        <w:t xml:space="preserve">Haudan avaamisesta ja peittämisestä huolehtii hautauspalvelut. Omaiset voivat peittää haudan siihen saakka, että arkku peittyy, jos siitä on erikseen ja etukäteen sovittu hautausmaan henkilökunnan kanssa. </w:t>
      </w:r>
      <w:r w:rsidRPr="004F2B60">
        <w:rPr>
          <w:rFonts w:asciiTheme="minorHAnsi" w:eastAsia="Calibri" w:hAnsiTheme="minorHAnsi" w:cstheme="minorHAnsi"/>
          <w:color w:val="000000" w:themeColor="text1"/>
          <w:lang w:eastAsia="en-US"/>
        </w:rPr>
        <w:t>Uurnahaudan omaiset voivat peittää halutessaan kokonaan.</w:t>
      </w:r>
    </w:p>
    <w:p w14:paraId="711EA488"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3B545EE4" wp14:editId="2EC93648">
                <wp:extent cx="5863590" cy="2855595"/>
                <wp:effectExtent l="7620" t="12065" r="5715" b="12700"/>
                <wp:docPr id="2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A53BD42" w14:textId="6B5729E5"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Terveydensuojeluasetus 40 § 1 </w:t>
                            </w:r>
                            <w:r w:rsidR="001B3D72" w:rsidRPr="004F2B60">
                              <w:rPr>
                                <w:rFonts w:asciiTheme="minorHAnsi" w:hAnsiTheme="minorHAnsi" w:cstheme="minorHAnsi"/>
                                <w:sz w:val="21"/>
                                <w:szCs w:val="21"/>
                              </w:rPr>
                              <w:t>mom.</w:t>
                            </w:r>
                          </w:p>
                          <w:p w14:paraId="6990627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Hautaaminen</w:t>
                            </w:r>
                          </w:p>
                          <w:p w14:paraId="631E791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Vainajan ruumis on haudattava viivytyksettä tiiviissä asianmukaisessa arkussa tai vastaavassa taikka tuhkattava krematoriossa.</w:t>
                            </w:r>
                          </w:p>
                        </w:txbxContent>
                      </wps:txbx>
                      <wps:bodyPr rot="0" vert="horz" wrap="square" lIns="91440" tIns="45720" rIns="91440" bIns="45720" anchor="t" anchorCtr="0" upright="1">
                        <a:spAutoFit/>
                      </wps:bodyPr>
                    </wps:wsp>
                  </a:graphicData>
                </a:graphic>
              </wp:inline>
            </w:drawing>
          </mc:Choice>
          <mc:Fallback>
            <w:pict>
              <v:shape w14:anchorId="3B545EE4" id="_x0000_s105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T9XsHQ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STeYwQid1CdSRqEQbp0qjRoQH8yVlHsi25/7EXqDgzHyy152Y8nUadJ2M6u56Q gZee7aVHWElQJQ+cDcd1GGZj71DvGor0JIg7aulGJ7KfszrlT9JMPTiN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BnT9XsHQIAADQEAAAOAAAAAAAAAAAAAAAAAC4CAABkcnMvZTJvRG9jLnhtbFBLAQIt ABQABgAIAAAAIQDSRulr3QAAAAUBAAAPAAAAAAAAAAAAAAAAAHcEAABkcnMvZG93bnJldi54bWxQ SwUGAAAAAAQABADzAAAAgQUAAAAA ">
                <v:textbox style="mso-fit-shape-to-text:t">
                  <w:txbxContent>
                    <w:p w14:paraId="2A53BD42" w14:textId="6B5729E5"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Terveydensuojeluasetus 40 § 1 </w:t>
                      </w:r>
                      <w:r w:rsidR="001B3D72" w:rsidRPr="004F2B60">
                        <w:rPr>
                          <w:rFonts w:asciiTheme="minorHAnsi" w:hAnsiTheme="minorHAnsi" w:cstheme="minorHAnsi"/>
                          <w:sz w:val="21"/>
                          <w:szCs w:val="21"/>
                        </w:rPr>
                        <w:t>mom.</w:t>
                      </w:r>
                    </w:p>
                    <w:p w14:paraId="6990627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Hautaaminen</w:t>
                      </w:r>
                    </w:p>
                    <w:p w14:paraId="631E791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Vainajan ruumis on haudattava viivytyksettä tiiviissä asianmukaisessa arkussa tai vastaavassa taikka tuhkattava krematoriossa.</w:t>
                      </w:r>
                    </w:p>
                  </w:txbxContent>
                </v:textbox>
                <w10:anchorlock/>
              </v:shape>
            </w:pict>
          </mc:Fallback>
        </mc:AlternateContent>
      </w:r>
    </w:p>
    <w:p w14:paraId="3F9ADCA8"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78343FBF" wp14:editId="077E6931">
                <wp:extent cx="5863590" cy="2855595"/>
                <wp:effectExtent l="7620" t="12065" r="5715" b="12700"/>
                <wp:docPr id="2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14B59E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Asetus kuolemansyyn selvittämisestä 22 a § 2–3 mom.</w:t>
                            </w:r>
                          </w:p>
                          <w:p w14:paraId="42C58AE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 saadaan toimittaa, kun hautauslupa tai kuolinselvitys on annettu sen hautausmaan ylläpitäjälle, jonne vainaja haudataan. Vainajan ruumiin voi tuhkata, kun hautauslupa tai kuolinselvitys on annettu krematoriolle, jossa vainaja tuhkataan.</w:t>
                            </w:r>
                          </w:p>
                          <w:p w14:paraId="2F6F77E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ylläpitäjän on viipymättä hautauksen jälkeen ilmoitettava hautauksen ajasta ja hautausmaasta, johon vainaja on haudattu, maistraatille. Jos vainaja on tuhkattu, on krematorion ylläpitäjän ilmoitettava, milloin ja missä vainaja tuhkattiin. Ilmoitus on tehtävä sille maistraatille, jonka toimialueella vainajalla oli kuollessaan kotikunta tai, jos tämä ei ole tiedossa, kuolinpaikan maistraatille. Jos vainaja oli kuollessaan evankelisluterilaisen tai ortodoksisen kirkon jäsen, nämä ilmoitukset on kuitenkin tehtävä asianomaiselle seurakunnalle.</w:t>
                            </w:r>
                          </w:p>
                        </w:txbxContent>
                      </wps:txbx>
                      <wps:bodyPr rot="0" vert="horz" wrap="square" lIns="91440" tIns="45720" rIns="91440" bIns="45720" anchor="t" anchorCtr="0" upright="1">
                        <a:spAutoFit/>
                      </wps:bodyPr>
                    </wps:wsp>
                  </a:graphicData>
                </a:graphic>
              </wp:inline>
            </w:drawing>
          </mc:Choice>
          <mc:Fallback>
            <w:pict>
              <v:shape w14:anchorId="78343FBF" id="_x0000_s105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ASAAHQ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cnHNzFCJHYD1YGoRRikS6NGhwbwJ2cdybbk/sdOoOLMfLDUnsVoMok6T8ZkejMm Ay89m0uPsJKgSh44G473YZiNnUO9bSjSSRB31NK1TmQ/Z3XMn6SZenAco6j9Szu9eh721S8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DHASAAHQIAADQEAAAOAAAAAAAAAAAAAAAAAC4CAABkcnMvZTJvRG9jLnhtbFBLAQIt ABQABgAIAAAAIQDSRulr3QAAAAUBAAAPAAAAAAAAAAAAAAAAAHcEAABkcnMvZG93bnJldi54bWxQ SwUGAAAAAAQABADzAAAAgQUAAAAA ">
                <v:textbox style="mso-fit-shape-to-text:t">
                  <w:txbxContent>
                    <w:p w14:paraId="014B59E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Asetus kuolemansyyn selvittämisestä 22 a § 2–3 mom.</w:t>
                      </w:r>
                    </w:p>
                    <w:p w14:paraId="42C58AE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 saadaan toimittaa, kun hautauslupa tai kuolinselvitys on annettu sen hautausmaan ylläpitäjälle, jonne vainaja haudataan. Vainajan ruumiin voi tuhkata, kun hautauslupa tai kuolinselvitys on annettu krematoriolle, jossa vainaja tuhkataan.</w:t>
                      </w:r>
                    </w:p>
                    <w:p w14:paraId="2F6F77E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ylläpitäjän on viipymättä hautauksen jälkeen ilmoitettava hautauksen ajasta ja hautausmaasta, johon vainaja on haudattu, maistraatille. Jos vainaja on tuhkattu, on krematorion ylläpitäjän ilmoitettava, milloin ja missä vainaja tuhkattiin. Ilmoitus on tehtävä sille maistraatille, jonka toimialueella vainajalla oli kuollessaan kotikunta tai, jos tämä ei ole tiedossa, kuolinpaikan maistraatille. Jos vainaja oli kuollessaan evankelisluterilaisen tai ortodoksisen kirkon jäsen, nämä ilmoitukset on kuitenkin tehtävä asianomaiselle seurakunnalle.</w:t>
                      </w:r>
                    </w:p>
                  </w:txbxContent>
                </v:textbox>
                <w10:anchorlock/>
              </v:shape>
            </w:pict>
          </mc:Fallback>
        </mc:AlternateContent>
      </w:r>
    </w:p>
    <w:p w14:paraId="330FFE8F"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22" w:name="_Hlk523727069"/>
      <w:bookmarkStart w:id="23" w:name="_Toc232169018"/>
      <w:bookmarkEnd w:id="20"/>
      <w:r w:rsidRPr="004F2B60">
        <w:rPr>
          <w:rFonts w:asciiTheme="minorHAnsi" w:hAnsiTheme="minorHAnsi" w:cstheme="minorHAnsi"/>
          <w:lang w:eastAsia="en-US"/>
        </w:rPr>
        <w:t>11 § Haudatun ruumiin tai tuhkan siirto</w:t>
      </w:r>
      <w:bookmarkEnd w:id="23"/>
    </w:p>
    <w:bookmarkEnd w:id="22"/>
    <w:p w14:paraId="07A59283"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Haudatun ruumiin tai tuhkan saa siirtää toiseen hautaan vain, jos aluehallintovirasto erityisen painavista syistä on myöntänyt siihen luvan. Haudatun ruumiin siirtäminen edellyttää lisäksi kunnan terveydensuojeluviranomaisen myöntämän luvan. Mainitut päätökset on ennen siirron valmistelua toimitettava tiedoksi hautaustoimelle. Espoon seurakuntayhtymän hautauspalvelut </w:t>
      </w:r>
      <w:proofErr w:type="gramStart"/>
      <w:r w:rsidRPr="004F2B60">
        <w:rPr>
          <w:rFonts w:asciiTheme="minorHAnsi" w:eastAsia="Calibri" w:hAnsiTheme="minorHAnsi" w:cstheme="minorHAnsi"/>
          <w:lang w:eastAsia="en-US"/>
        </w:rPr>
        <w:t>ei</w:t>
      </w:r>
      <w:proofErr w:type="gramEnd"/>
      <w:r w:rsidRPr="004F2B60">
        <w:rPr>
          <w:rFonts w:asciiTheme="minorHAnsi" w:eastAsia="Calibri" w:hAnsiTheme="minorHAnsi" w:cstheme="minorHAnsi"/>
          <w:lang w:eastAsia="en-US"/>
        </w:rPr>
        <w:t xml:space="preserve"> suorita haudatun ruumiin tai tuhkan siirtoa.</w:t>
      </w:r>
    </w:p>
    <w:p w14:paraId="75F267E7"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1796385F" wp14:editId="78FD577F">
                <wp:extent cx="5863590" cy="2855595"/>
                <wp:effectExtent l="7620" t="12065" r="5715" b="12700"/>
                <wp:docPr id="2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42DBA3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24 §</w:t>
                            </w:r>
                          </w:p>
                          <w:p w14:paraId="194DFED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Haudatun ruumiin tai tuhkan siirto</w:t>
                            </w:r>
                          </w:p>
                          <w:p w14:paraId="60373C5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Haudattu ruumis tai tuhka saadaan erityisen painavista syistä aluehallintoviraston luvalla siirtää toiseen hautaan. Haudatun ruumiin siirtämiseen tarvittavasta terveydensuojeluviranomaisen luvasta säädetään erikseen</w:t>
                            </w:r>
                          </w:p>
                        </w:txbxContent>
                      </wps:txbx>
                      <wps:bodyPr rot="0" vert="horz" wrap="square" lIns="91440" tIns="45720" rIns="91440" bIns="45720" anchor="t" anchorCtr="0" upright="1">
                        <a:spAutoFit/>
                      </wps:bodyPr>
                    </wps:wsp>
                  </a:graphicData>
                </a:graphic>
              </wp:inline>
            </w:drawing>
          </mc:Choice>
          <mc:Fallback>
            <w:pict>
              <v:shape w14:anchorId="1796385F" id="_x0000_s105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jhfhHQ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cnH8xghEruB6kDUIgzSpVGjQwP4k7OOZFty/2MnUHFmPlhqz2I0mUSdJ2MyvRmT gZeezaVHWElQJQ+cDcf7MMzGzqHeNhTpJIg7aulaJ7KfszrmT9JMPTiO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BgjhfhHQIAADQEAAAOAAAAAAAAAAAAAAAAAC4CAABkcnMvZTJvRG9jLnhtbFBLAQIt ABQABgAIAAAAIQDSRulr3QAAAAUBAAAPAAAAAAAAAAAAAAAAAHcEAABkcnMvZG93bnJldi54bWxQ SwUGAAAAAAQABADzAAAAgQUAAAAA ">
                <v:textbox style="mso-fit-shape-to-text:t">
                  <w:txbxContent>
                    <w:p w14:paraId="742DBA3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24 §</w:t>
                      </w:r>
                    </w:p>
                    <w:p w14:paraId="194DFEDE"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Haudatun ruumiin tai tuhkan siirto</w:t>
                      </w:r>
                    </w:p>
                    <w:p w14:paraId="60373C5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Haudattu ruumis tai tuhka saadaan erityisen painavista syistä aluehallintoviraston luvalla siirtää toiseen hautaan. Haudatun ruumiin siirtämiseen tarvittavasta terveydensuojeluviranomaisen luvasta säädetään erikseen</w:t>
                      </w:r>
                    </w:p>
                  </w:txbxContent>
                </v:textbox>
                <w10:anchorlock/>
              </v:shape>
            </w:pict>
          </mc:Fallback>
        </mc:AlternateContent>
      </w:r>
    </w:p>
    <w:p w14:paraId="6F89119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2A128BD0" wp14:editId="248A7AF6">
                <wp:extent cx="5863590" cy="2855595"/>
                <wp:effectExtent l="7620" t="12065" r="5715" b="12700"/>
                <wp:docPr id="2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D58069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Terveydensuojeluasetus 42 §</w:t>
                            </w:r>
                          </w:p>
                          <w:p w14:paraId="4502ED5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Haudatun ruumiin siirtäminen</w:t>
                            </w:r>
                          </w:p>
                          <w:p w14:paraId="1C58B5F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Haudatun ruumiin siirtämistä koskevaan kunnan terveydensuojeluviranomaiselle osoitettuun hakemukseen on liitettävä tiedot vainajasta sekä virallinen selvitys kuoleman syystä ja ajasta, ruumiin hautapaikasta sekä selvitys ruumille varatusta uudesta hautapaikasta.</w:t>
                            </w:r>
                          </w:p>
                          <w:p w14:paraId="1249B2E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Kunnan terveydensuojeluviranomaisen on hankittava hautausmaiden omistajilta lausunto terveydellisten seikkojen selvittämiseksi haudatun ruumiin siirtämisestä tehdystä hakemuksesta.</w:t>
                            </w:r>
                          </w:p>
                          <w:p w14:paraId="306015A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Kunnan terveydensuojeluviranomainen voi tarvittaessa kieltää haudatun ruumiin siirtämisen tai määrätä ruumista siirrettäessä noudatettavista muista toimenpiteistä terveyshaitan ehkäisemiseksi. Kunnan terveydensuojeluviranomaisen on määrättävä aika, jonka kuluessa ruumiin siirtäminen on toimitettava.</w:t>
                            </w:r>
                          </w:p>
                          <w:p w14:paraId="712BEFE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Kunnan terveydensuojeluviranomaisen on lähetettävä ruumiin siirtämistä koskeva päätös tiedoksi sen kunnan terveydensuojeluviranomaiselle, jonne ruumis siirretään, sekä asianomaisille lääninhallituksille ja hautausmaiden omistajille. </w:t>
                            </w:r>
                          </w:p>
                          <w:p w14:paraId="3D9E4B6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Kunnan terveydensuojeluviranomaisen edustajan on oltava paikalla ruumista haudasta otettaessa ja uudelleen haudattaessa.</w:t>
                            </w:r>
                          </w:p>
                        </w:txbxContent>
                      </wps:txbx>
                      <wps:bodyPr rot="0" vert="horz" wrap="square" lIns="91440" tIns="45720" rIns="91440" bIns="45720" anchor="t" anchorCtr="0" upright="1">
                        <a:spAutoFit/>
                      </wps:bodyPr>
                    </wps:wsp>
                  </a:graphicData>
                </a:graphic>
              </wp:inline>
            </w:drawing>
          </mc:Choice>
          <mc:Fallback>
            <w:pict>
              <v:shape w14:anchorId="2A128BD0" id="_x0000_s105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wOINHQ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cnHixghEruB6kDUIgzSpVGjQwP4k7OOZFty/2MnUHFmPlhqz2I0mUSdJ2MyvRmT gZeezaVHWElQJQ+cDcf7MMzGzqHeNhTpJIg7aulaJ7KfszrmT9JMPTiO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DAwOINHQIAADQEAAAOAAAAAAAAAAAAAAAAAC4CAABkcnMvZTJvRG9jLnhtbFBLAQIt ABQABgAIAAAAIQDSRulr3QAAAAUBAAAPAAAAAAAAAAAAAAAAAHcEAABkcnMvZG93bnJldi54bWxQ SwUGAAAAAAQABADzAAAAgQUAAAAA ">
                <v:textbox style="mso-fit-shape-to-text:t">
                  <w:txbxContent>
                    <w:p w14:paraId="4D58069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Terveydensuojeluasetus 42 §</w:t>
                      </w:r>
                    </w:p>
                    <w:p w14:paraId="4502ED5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Haudatun ruumiin siirtäminen</w:t>
                      </w:r>
                    </w:p>
                    <w:p w14:paraId="1C58B5F8"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Haudatun ruumiin siirtämistä koskevaan kunnan terveydensuojeluviranomaiselle osoitettuun hakemukseen on liitettävä tiedot vainajasta sekä virallinen selvitys kuoleman syystä ja ajasta, ruumiin hautapaikasta sekä selvitys ruumille varatusta uudesta hautapaikasta.</w:t>
                      </w:r>
                    </w:p>
                    <w:p w14:paraId="1249B2E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Kunnan terveydensuojeluviranomaisen on hankittava hautausmaiden omistajilta lausunto terveydellisten seikkojen selvittämiseksi haudatun ruumiin siirtämisestä tehdystä hakemuksesta.</w:t>
                      </w:r>
                    </w:p>
                    <w:p w14:paraId="306015A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Kunnan terveydensuojeluviranomainen voi tarvittaessa kieltää haudatun ruumiin siirtämisen tai määrätä ruumista siirrettäessä noudatettavista muista toimenpiteistä terveyshaitan ehkäisemiseksi. Kunnan terveydensuojeluviranomaisen on määrättävä aika, jonka kuluessa ruumiin siirtäminen on toimitettava.</w:t>
                      </w:r>
                    </w:p>
                    <w:p w14:paraId="712BEFE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Kunnan terveydensuojeluviranomaisen on lähetettävä ruumiin siirtämistä koskeva päätös tiedoksi sen kunnan terveydensuojeluviranomaiselle, jonne ruumis siirretään, sekä asianomaisille lääninhallituksille ja hautausmaiden omistajille. </w:t>
                      </w:r>
                    </w:p>
                    <w:p w14:paraId="3D9E4B6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Kunnan terveydensuojeluviranomaisen edustajan on oltava paikalla ruumista haudasta otettaessa ja uudelleen haudattaessa.</w:t>
                      </w:r>
                    </w:p>
                  </w:txbxContent>
                </v:textbox>
                <w10:anchorlock/>
              </v:shape>
            </w:pict>
          </mc:Fallback>
        </mc:AlternateContent>
      </w:r>
    </w:p>
    <w:p w14:paraId="78748D51"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24" w:name="_Toc532225604"/>
      <w:bookmarkStart w:id="25" w:name="_Hlk523727104"/>
      <w:bookmarkStart w:id="26" w:name="_Hlk3202652"/>
      <w:bookmarkStart w:id="27" w:name="_Toc232169019"/>
      <w:r w:rsidRPr="004F2B60">
        <w:rPr>
          <w:rFonts w:asciiTheme="minorHAnsi" w:hAnsiTheme="minorHAnsi" w:cstheme="minorHAnsi"/>
          <w:lang w:eastAsia="en-US"/>
        </w:rPr>
        <w:t xml:space="preserve">12 § </w:t>
      </w:r>
      <w:bookmarkEnd w:id="24"/>
      <w:r w:rsidRPr="004F2B60">
        <w:rPr>
          <w:rFonts w:asciiTheme="minorHAnsi" w:hAnsiTheme="minorHAnsi" w:cstheme="minorHAnsi"/>
          <w:lang w:eastAsia="en-US"/>
        </w:rPr>
        <w:t>Haudan hoitaminen</w:t>
      </w:r>
      <w:bookmarkEnd w:id="27"/>
    </w:p>
    <w:bookmarkEnd w:id="25"/>
    <w:bookmarkEnd w:id="26"/>
    <w:p w14:paraId="2A5E56EF"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Seurakuntayhtymän hautaustoimelle kuuluva hautausmaan perushoito ja hautaoikeuden haltijalle kuuluvat tehtävät määräytyvät hautausmaan hoitosuunnitelman mukaisesti. Hautaustoimi seuraa hautojen hoitoa ja antaa tarvittaessa kehotuksia puutteiden korjaamiseksi.</w:t>
      </w:r>
    </w:p>
    <w:p w14:paraId="0039E811"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Sen lisäksi, mitä kirkkolain 3 luvun 33 §:n 1 momentissa säädetään seurakunnan vastuusta yksittäisen haudan hoidosta, seurakuntayhtymän </w:t>
      </w:r>
      <w:proofErr w:type="spellStart"/>
      <w:r w:rsidRPr="004F2B60">
        <w:rPr>
          <w:rFonts w:asciiTheme="minorHAnsi" w:eastAsia="Calibri" w:hAnsiTheme="minorHAnsi" w:cstheme="minorHAnsi"/>
          <w:lang w:eastAsia="en-US"/>
        </w:rPr>
        <w:t>hautaustoimi</w:t>
      </w:r>
      <w:proofErr w:type="spellEnd"/>
      <w:r w:rsidRPr="004F2B60">
        <w:rPr>
          <w:rFonts w:asciiTheme="minorHAnsi" w:eastAsia="Calibri" w:hAnsiTheme="minorHAnsi" w:cstheme="minorHAnsi"/>
          <w:lang w:eastAsia="en-US"/>
        </w:rPr>
        <w:t xml:space="preserve"> voi sopia seurakunnan hallintaan palautuneen haudan ylläpidosta ja hoidosta kulttuuriperintöä vaalivan yhteisön tai henkilön kustannuksella. Sopimuksella ei luovuteta hautaoikeutta. </w:t>
      </w:r>
    </w:p>
    <w:p w14:paraId="48889477"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6F9C0562" wp14:editId="4F876E85">
                <wp:extent cx="5863590" cy="2855595"/>
                <wp:effectExtent l="7620" t="12065" r="5715" b="12700"/>
                <wp:docPr id="3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976ADA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13 §</w:t>
                            </w:r>
                          </w:p>
                          <w:p w14:paraId="38F1F86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ja haudan hoito</w:t>
                            </w:r>
                          </w:p>
                          <w:p w14:paraId="35D35B7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ylläpitäjän tulee hoitaa hautausmaata sen arvoa vastaavalla ja vainajien muistoa kunnioittavalla tavalla.</w:t>
                            </w:r>
                          </w:p>
                          <w:p w14:paraId="08699C9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Yksittäisen haudan hoidosta on voimassa, mitä 11 §:n mukaisesti säädetään tai määrätään sekä hautausmaan ylläpitäjän ja hautaoikeuden haltijan kesken sovitaan.</w:t>
                            </w:r>
                          </w:p>
                        </w:txbxContent>
                      </wps:txbx>
                      <wps:bodyPr rot="0" vert="horz" wrap="square" lIns="91440" tIns="45720" rIns="91440" bIns="45720" anchor="t" anchorCtr="0" upright="1">
                        <a:spAutoFit/>
                      </wps:bodyPr>
                    </wps:wsp>
                  </a:graphicData>
                </a:graphic>
              </wp:inline>
            </w:drawing>
          </mc:Choice>
          <mc:Fallback>
            <w:pict>
              <v:shape w14:anchorId="6F9C0562" id="_x0000_s105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tEM9Gw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eQhRojEbqA6ELUIg3Rp1OjQAP7krCPZltz/2AlUnJkPltqzGE0mUefJmExvxmTg pWdz6RFWElTJA2fD8T4Ms7FzqLcNRToJ4o5autaJ7OesjvmTNFMPjmMUtX9pp1fPw776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wrRDPRsCAAA0BAAADgAAAAAAAAAAAAAAAAAuAgAAZHJzL2Uyb0RvYy54bWxQSwECLQAU AAYACAAAACEA0kbpa90AAAAFAQAADwAAAAAAAAAAAAAAAAB1BAAAZHJzL2Rvd25yZXYueG1sUEsF BgAAAAAEAAQA8wAAAH8FAAAAAA== ">
                <v:textbox style="mso-fit-shape-to-text:t">
                  <w:txbxContent>
                    <w:p w14:paraId="5976ADA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13 §</w:t>
                      </w:r>
                    </w:p>
                    <w:p w14:paraId="38F1F86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ja haudan hoito</w:t>
                      </w:r>
                    </w:p>
                    <w:p w14:paraId="35D35B7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Hautausmaan ylläpitäjän tulee hoitaa hautausmaata sen arvoa vastaavalla ja vainajien muistoa kunnioittavalla tavalla.</w:t>
                      </w:r>
                    </w:p>
                    <w:p w14:paraId="08699C9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Yksittäisen haudan hoidosta on voimassa, mitä 11 §:n mukaisesti säädetään tai määrätään sekä hautausmaan ylläpitäjän ja hautaoikeuden haltijan kesken sovitaan.</w:t>
                      </w:r>
                    </w:p>
                  </w:txbxContent>
                </v:textbox>
                <w10:anchorlock/>
              </v:shape>
            </w:pict>
          </mc:Fallback>
        </mc:AlternateContent>
      </w:r>
    </w:p>
    <w:p w14:paraId="3AB46D3A"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19A7D024" wp14:editId="55E8B72A">
                <wp:extent cx="5863590" cy="2855595"/>
                <wp:effectExtent l="7620" t="12065" r="5715" b="12700"/>
                <wp:docPr id="3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ABB924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33 §</w:t>
                            </w:r>
                          </w:p>
                          <w:p w14:paraId="18E77C2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Haudan hoito</w:t>
                            </w:r>
                          </w:p>
                          <w:p w14:paraId="0393575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Hautaoikeuden haltija vastaa siitä, että hautaa hoidetaan hautausmaan arvon mukaisesti. Kirkkovaltuusto voi kuitenkin päättää, että seurakunnan kustannuksella huolehditaan hautausmaalla tai sen osalla olevien hautojen perushoidosta.  Kirkkovaltuusto voi päättää, että seurakunta vastaa haudan hoidosta, jos vainajan muiston vaalimista pidetään seurakunnan kannalta tärkeänä. </w:t>
                            </w:r>
                          </w:p>
                          <w:p w14:paraId="46895BC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 </w:t>
                            </w:r>
                          </w:p>
                          <w:p w14:paraId="1E9382BE" w14:textId="22E055DD"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Kirkkoneuvosto voi velvoittaa hautaoikeuden haltijan kunnostamaan haudan, jonka hoito on olennaisesti laiminlyöty. Kunnostamiseen varataan vuoden määräaika siitä, kun päätös on annettu hautaoikeuden haltijalle tiedoksi. Kirkkoneuvosto voi päättää hautaoikeuden menettämisestä, jollei laiminlyöntiä ole korjattu. Päätöksen tiedottamisesta säädetään 10 luvun 2</w:t>
                            </w:r>
                            <w:r w:rsidR="00EB343E">
                              <w:rPr>
                                <w:rFonts w:asciiTheme="minorHAnsi" w:hAnsiTheme="minorHAnsi" w:cstheme="minorHAnsi"/>
                                <w:sz w:val="21"/>
                                <w:szCs w:val="21"/>
                              </w:rPr>
                              <w:t>6</w:t>
                            </w:r>
                            <w:r w:rsidRPr="004F2B60">
                              <w:rPr>
                                <w:rFonts w:asciiTheme="minorHAnsi" w:hAnsiTheme="minorHAnsi" w:cstheme="minorHAnsi"/>
                                <w:sz w:val="21"/>
                                <w:szCs w:val="21"/>
                              </w:rPr>
                              <w:t xml:space="preserve"> §:ssä.</w:t>
                            </w:r>
                          </w:p>
                        </w:txbxContent>
                      </wps:txbx>
                      <wps:bodyPr rot="0" vert="horz" wrap="square" lIns="91440" tIns="45720" rIns="91440" bIns="45720" anchor="t" anchorCtr="0" upright="1">
                        <a:spAutoFit/>
                      </wps:bodyPr>
                    </wps:wsp>
                  </a:graphicData>
                </a:graphic>
              </wp:inline>
            </w:drawing>
          </mc:Choice>
          <mc:Fallback>
            <w:pict>
              <v:shapetype w14:anchorId="19A7D024" id="_x0000_t202" coordsize="21600,21600" o:spt="202" path="m,l,21600r21600,l21600,xe">
                <v:stroke joinstyle="miter"/>
                <v:path gradientshapeok="t" o:connecttype="rect"/>
              </v:shapetype>
              <v:shape id="_x0000_s105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rbRGw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RTwkmiOxG6gORC3CIF36amQ0gD8560i2Jfc/dgIVZ+aDpfEsRpNJ1HlyJtObMTl4 GdlcRoSVBFXywNlg3ofhb+wc6m1DL50EcUcjXetE9nNVx/pJmmkGx28UtX/pp6znz776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Yvq20RsCAAA0BAAADgAAAAAAAAAAAAAAAAAuAgAAZHJzL2Uyb0RvYy54bWxQSwECLQAU AAYACAAAACEA0kbpa90AAAAFAQAADwAAAAAAAAAAAAAAAAB1BAAAZHJzL2Rvd25yZXYueG1sUEsF BgAAAAAEAAQA8wAAAH8FAAAAAA== ">
                <v:textbox style="mso-fit-shape-to-text:t">
                  <w:txbxContent>
                    <w:p w14:paraId="4ABB924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33 §</w:t>
                      </w:r>
                    </w:p>
                    <w:p w14:paraId="18E77C2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Haudan hoito</w:t>
                      </w:r>
                    </w:p>
                    <w:p w14:paraId="03935750"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Hautaoikeuden haltija vastaa siitä, että hautaa hoidetaan hautausmaan arvon mukaisesti. Kirkkovaltuusto voi kuitenkin päättää, että seurakunnan kustannuksella huolehditaan hautausmaalla tai sen osalla olevien hautojen perushoidosta.  Kirkkovaltuusto voi päättää, että seurakunta vastaa haudan hoidosta, jos vainajan muiston vaalimista pidetään seurakunnan kannalta tärkeänä. </w:t>
                      </w:r>
                    </w:p>
                    <w:p w14:paraId="46895BCC"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 </w:t>
                      </w:r>
                    </w:p>
                    <w:p w14:paraId="1E9382BE" w14:textId="22E055DD"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Kirkkoneuvosto voi velvoittaa hautaoikeuden haltijan kunnostamaan haudan, jonka hoito on olennaisesti laiminlyöty. Kunnostamiseen varataan vuoden määräaika siitä, kun päätös on annettu hautaoikeuden haltijalle tiedoksi. Kirkkoneuvosto voi päättää hautaoikeuden menettämisestä, jollei laiminlyöntiä ole korjattu. Päätöksen tiedottamisesta säädetään 10 luvun 2</w:t>
                      </w:r>
                      <w:r w:rsidR="00EB343E">
                        <w:rPr>
                          <w:rFonts w:asciiTheme="minorHAnsi" w:hAnsiTheme="minorHAnsi" w:cstheme="minorHAnsi"/>
                          <w:sz w:val="21"/>
                          <w:szCs w:val="21"/>
                        </w:rPr>
                        <w:t>6</w:t>
                      </w:r>
                      <w:r w:rsidRPr="004F2B60">
                        <w:rPr>
                          <w:rFonts w:asciiTheme="minorHAnsi" w:hAnsiTheme="minorHAnsi" w:cstheme="minorHAnsi"/>
                          <w:sz w:val="21"/>
                          <w:szCs w:val="21"/>
                        </w:rPr>
                        <w:t xml:space="preserve"> §:ssä.</w:t>
                      </w:r>
                    </w:p>
                  </w:txbxContent>
                </v:textbox>
                <w10:anchorlock/>
              </v:shape>
            </w:pict>
          </mc:Fallback>
        </mc:AlternateContent>
      </w:r>
    </w:p>
    <w:p w14:paraId="36CF23AF"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5BC7A80A" wp14:editId="1586630C">
                <wp:extent cx="5863590" cy="2855595"/>
                <wp:effectExtent l="7620" t="12065" r="5715" b="12700"/>
                <wp:docPr id="3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04D814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36 §</w:t>
                            </w:r>
                          </w:p>
                          <w:p w14:paraId="38660F6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Hautaustoimen maksut</w:t>
                            </w:r>
                          </w:p>
                          <w:p w14:paraId="3E6AF27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§:ää.</w:t>
                            </w:r>
                          </w:p>
                          <w:p w14:paraId="27E478A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Kirkkovaltuusto päättää haudoista perittävistä maksuista.</w:t>
                            </w:r>
                          </w:p>
                        </w:txbxContent>
                      </wps:txbx>
                      <wps:bodyPr rot="0" vert="horz" wrap="square" lIns="91440" tIns="45720" rIns="91440" bIns="45720" anchor="t" anchorCtr="0" upright="1">
                        <a:spAutoFit/>
                      </wps:bodyPr>
                    </wps:wsp>
                  </a:graphicData>
                </a:graphic>
              </wp:inline>
            </w:drawing>
          </mc:Choice>
          <mc:Fallback>
            <w:pict>
              <v:shape w14:anchorId="5BC7A80A" id="_x0000_s105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L9g/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Ewjh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Mv2D8cAgAANAQAAA4AAAAAAAAAAAAAAAAALgIAAGRycy9lMm9Eb2MueG1sUEsBAi0A FAAGAAgAAAAhANJG6WvdAAAABQEAAA8AAAAAAAAAAAAAAAAAdgQAAGRycy9kb3ducmV2LnhtbFBL BQYAAAAABAAEAPMAAACABQAAAAA= ">
                <v:textbox style="mso-fit-shape-to-text:t">
                  <w:txbxContent>
                    <w:p w14:paraId="004D814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Kirkkolaki 3 luku 36 §</w:t>
                      </w:r>
                    </w:p>
                    <w:p w14:paraId="38660F6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Hautaustoimen maksut</w:t>
                      </w:r>
                    </w:p>
                    <w:p w14:paraId="3E6AF27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§:ää.</w:t>
                      </w:r>
                    </w:p>
                    <w:p w14:paraId="27E478A1"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Kirkkovaltuusto päättää haudoista perittävistä maksuista.</w:t>
                      </w:r>
                    </w:p>
                  </w:txbxContent>
                </v:textbox>
                <w10:anchorlock/>
              </v:shape>
            </w:pict>
          </mc:Fallback>
        </mc:AlternateContent>
      </w:r>
    </w:p>
    <w:p w14:paraId="4398D3B4"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28" w:name="_Toc532225607"/>
      <w:bookmarkStart w:id="29" w:name="_Toc4743916"/>
      <w:bookmarkStart w:id="30" w:name="_Toc5108616"/>
      <w:bookmarkStart w:id="31" w:name="_Toc232169020"/>
      <w:r w:rsidRPr="004F2B60">
        <w:rPr>
          <w:rFonts w:asciiTheme="minorHAnsi" w:hAnsiTheme="minorHAnsi" w:cstheme="minorHAnsi"/>
          <w:lang w:eastAsia="en-US"/>
        </w:rPr>
        <w:t>13 §</w:t>
      </w:r>
      <w:bookmarkEnd w:id="28"/>
      <w:bookmarkEnd w:id="29"/>
      <w:bookmarkEnd w:id="30"/>
      <w:r w:rsidRPr="004F2B60">
        <w:rPr>
          <w:rFonts w:asciiTheme="minorHAnsi" w:hAnsiTheme="minorHAnsi" w:cstheme="minorHAnsi"/>
          <w:lang w:eastAsia="en-US"/>
        </w:rPr>
        <w:t xml:space="preserve"> Hautamuistomerkit</w:t>
      </w:r>
      <w:bookmarkEnd w:id="31"/>
    </w:p>
    <w:p w14:paraId="58FE8624"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Hautausmaalle haudatun vainajan muistoksi haudalle tai muistelupaikalle saa sijoittaa hautausmaan käyttösuunnitelman tai muistomerkkiohjeiden mukaisen muistomerkin tai muistelupaikan nimilaatan tai nimikaiverruksen. Uusista hautamuistomerkeistä ja muistomerkkien muutoksista on toimitettava määrämuotoinen muistomerkkisuunnitelma, jonka hyväksymistä on haettava hautaustoimelta ennen muistomerkin valmistamista.</w:t>
      </w:r>
    </w:p>
    <w:p w14:paraId="376D068B"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Muistomerkin tilaajan ja asentajan on huolehdittava siitä, että hautamuistomerkin asennusalusta ja pohjatyöt ovat aikaa kestäviä.</w:t>
      </w:r>
    </w:p>
    <w:p w14:paraId="6CA0D8D0" w14:textId="77777777" w:rsidR="004F2B60" w:rsidRPr="004F2B60" w:rsidRDefault="004F2B60" w:rsidP="004F2B60">
      <w:pPr>
        <w:spacing w:before="120" w:after="120" w:line="288" w:lineRule="auto"/>
        <w:rPr>
          <w:rFonts w:asciiTheme="minorHAnsi" w:eastAsia="Calibri" w:hAnsiTheme="minorHAnsi" w:cstheme="minorHAnsi"/>
          <w:color w:val="00B050"/>
          <w:lang w:eastAsia="en-US"/>
        </w:rPr>
      </w:pPr>
      <w:r w:rsidRPr="004F2B60">
        <w:rPr>
          <w:rFonts w:asciiTheme="minorHAnsi" w:eastAsia="Calibri" w:hAnsiTheme="minorHAnsi" w:cstheme="minorHAnsi"/>
          <w:lang w:eastAsia="en-US"/>
        </w:rPr>
        <w:t xml:space="preserve">Haudalle sallitaan pääsääntöisesti yksi hautamuistomerkki. Haudalle asennettava muistomerkki on sijoitettava haudan rajojen sisäpuolelle. </w:t>
      </w:r>
    </w:p>
    <w:p w14:paraId="71AA86FD"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color w:val="000000" w:themeColor="text1"/>
          <w:lang w:eastAsia="en-US"/>
        </w:rPr>
        <w:t xml:space="preserve">Hautamuistomerkin asentaminen on sallittu haudan tiivistyksen jälkeen 1.6.–31.10. välisenä aikana. Jos haudalla on muistomerkin aluspalkki, niin asentamisen saa tehdä myös marraskuussa. Muistomerkin asennustöitä saa tehdä arkisin hautausmailla noudatettavana työaikana siten, ettei häiritä hautauksia eikä hautausmaan hoitotöitä. </w:t>
      </w:r>
      <w:r w:rsidRPr="004F2B60">
        <w:rPr>
          <w:rFonts w:asciiTheme="minorHAnsi" w:eastAsia="Calibri" w:hAnsiTheme="minorHAnsi" w:cstheme="minorHAnsi"/>
          <w:lang w:eastAsia="en-US"/>
        </w:rPr>
        <w:t>Muistomerkki on asennettava siten, ettei kaatumisen tai vieremän vaaraa ole.</w:t>
      </w:r>
    </w:p>
    <w:p w14:paraId="3609999D"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lastRenderedPageBreak/>
        <w:t xml:space="preserve">Muistomerkin turvallisuudesta vastaa hautaoikeuden haltija tai haudan asiakas. Seurakuntayhtymän </w:t>
      </w:r>
      <w:proofErr w:type="spellStart"/>
      <w:r w:rsidRPr="004F2B60">
        <w:rPr>
          <w:rFonts w:asciiTheme="minorHAnsi" w:eastAsia="Calibri" w:hAnsiTheme="minorHAnsi" w:cstheme="minorHAnsi"/>
          <w:lang w:eastAsia="en-US"/>
        </w:rPr>
        <w:t>hautaustoimi</w:t>
      </w:r>
      <w:proofErr w:type="spellEnd"/>
      <w:r w:rsidRPr="004F2B60">
        <w:rPr>
          <w:rFonts w:asciiTheme="minorHAnsi" w:eastAsia="Calibri" w:hAnsiTheme="minorHAnsi" w:cstheme="minorHAnsi"/>
          <w:lang w:eastAsia="en-US"/>
        </w:rPr>
        <w:t xml:space="preserve"> seuraa hautamuistomerkkien turvallisuutta ja antaa tarvittaessa kehotuksia puutteiden korjaamiseksi. Määräysten vastaisesti asennettu muistomerkki on hautaustoimen kehotuksesta viipymättä korjattava tai poistettava.</w:t>
      </w:r>
    </w:p>
    <w:p w14:paraId="2956DFB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Hautamuistomerkin tulee olla hautausmaalle tuotaessa valmiiksi tehty eikä se saa olla hautausmaalla paikoilleen asentamattomana kauemmin kuin työn suoritus vaatii. Työn päätyttyä hauta on heti siistittävä ja viereisille haudoille aiheutuneet vahingot siistittävä ja korjattava. Asennuksesta vastaavan on raportoitava vahingoista hautaustoimelle ja tarvittaessa sovittava korvauksista hautaoikeuden haltijoiden tai haudan asiakkaiden kanssa.</w:t>
      </w:r>
    </w:p>
    <w:p w14:paraId="04D08A55"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Haudan reunustaminen aidalla, kiveyksellä tai muuten on kielletty, jollei hautausmaan käyttösuunnitelma sitä salli. Erilaiset reunukset voivat vaurioitua haudan sulatuksessa tai estää haudan avaamisen. Hautaustoimi voi määrätä haudalta poistettaviksi asiaankuulumattomat aidat, puut, pensaat ja muut kasvit.</w:t>
      </w:r>
    </w:p>
    <w:p w14:paraId="4F578A1D" w14:textId="74D65CC4" w:rsidR="004F2B60" w:rsidRPr="004F2B60" w:rsidRDefault="001B3D72" w:rsidP="004F2B60">
      <w:pPr>
        <w:spacing w:before="120" w:after="120" w:line="288" w:lineRule="auto"/>
        <w:rPr>
          <w:rFonts w:asciiTheme="minorHAnsi" w:eastAsia="Calibri" w:hAnsiTheme="minorHAnsi" w:cstheme="minorHAnsi"/>
          <w:lang w:eastAsia="en-US"/>
        </w:rPr>
      </w:pPr>
      <w:r w:rsidRPr="001B3D72">
        <w:rPr>
          <w:rFonts w:asciiTheme="minorHAnsi" w:eastAsia="Calibri" w:hAnsiTheme="minorHAnsi" w:cstheme="minorHAnsi"/>
          <w:lang w:eastAsia="en-US"/>
        </w:rPr>
        <w:t xml:space="preserve">Hautausmaan henkilökunta voi poistaa tai tehdä vaarattomaksi yleiselle turvallisuudelle vaaralliseksi arvioidun muistomerkin, jollei haudan asiakasta tavoiteta. </w:t>
      </w:r>
      <w:r w:rsidR="004F2B60" w:rsidRPr="004F2B60">
        <w:rPr>
          <w:rFonts w:asciiTheme="minorHAnsi" w:eastAsia="Calibri" w:hAnsiTheme="minorHAnsi" w:cstheme="minorHAnsi"/>
          <w:lang w:eastAsia="en-US"/>
        </w:rPr>
        <w:t>Aiheutuneet kustannukset peritään haudan asiakkaalta.</w:t>
      </w:r>
    </w:p>
    <w:p w14:paraId="6C5A4CF4"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Muistomerkki on hautaoikeuden haltijan tai muiden oikeudenomistajien omaisuutta, ellei se lain nojalla poistamiskehotuksen jälkeen siirry seurakunnan omistukseen.</w:t>
      </w:r>
    </w:p>
    <w:p w14:paraId="5F47255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Seurakuntayhtymän hautaustoimelle siirtyneet hautamuistomerkit inventoidaan Museoviraston ohjeiden mukaisesti. Seurakuntayhtymän </w:t>
      </w:r>
      <w:proofErr w:type="spellStart"/>
      <w:r w:rsidRPr="004F2B60">
        <w:rPr>
          <w:rFonts w:asciiTheme="minorHAnsi" w:eastAsia="Calibri" w:hAnsiTheme="minorHAnsi" w:cstheme="minorHAnsi"/>
          <w:lang w:eastAsia="en-US"/>
        </w:rPr>
        <w:t>hautaustoimi</w:t>
      </w:r>
      <w:proofErr w:type="spellEnd"/>
      <w:r w:rsidRPr="004F2B60">
        <w:rPr>
          <w:rFonts w:asciiTheme="minorHAnsi" w:eastAsia="Calibri" w:hAnsiTheme="minorHAnsi" w:cstheme="minorHAnsi"/>
          <w:lang w:eastAsia="en-US"/>
        </w:rPr>
        <w:t xml:space="preserve"> pitää yllä rekisteriä kulttuurihistoriallisesti arvokkaista hautamuistomerkeistä.</w:t>
      </w:r>
    </w:p>
    <w:p w14:paraId="4770B92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Seurakuntayhtymän </w:t>
      </w:r>
      <w:proofErr w:type="spellStart"/>
      <w:r w:rsidRPr="004F2B60">
        <w:rPr>
          <w:rFonts w:asciiTheme="minorHAnsi" w:eastAsia="Calibri" w:hAnsiTheme="minorHAnsi" w:cstheme="minorHAnsi"/>
          <w:lang w:eastAsia="en-US"/>
        </w:rPr>
        <w:t>hautaustoimi</w:t>
      </w:r>
      <w:proofErr w:type="spellEnd"/>
      <w:r w:rsidRPr="004F2B60">
        <w:rPr>
          <w:rFonts w:asciiTheme="minorHAnsi" w:eastAsia="Calibri" w:hAnsiTheme="minorHAnsi" w:cstheme="minorHAnsi"/>
          <w:lang w:eastAsia="en-US"/>
        </w:rPr>
        <w:t xml:space="preserve"> korjaa tai oikaisee vain sellaisen hautamuistomerkin, jonka vaurioituminen johtuu hautaustoimen toimenpiteestä tai laiminlyönnistä.</w:t>
      </w:r>
    </w:p>
    <w:p w14:paraId="4A7BBD4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5F928DE9" wp14:editId="145B1996">
                <wp:extent cx="5863590" cy="2855595"/>
                <wp:effectExtent l="7620" t="12065" r="5715" b="12700"/>
                <wp:docPr id="3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6A7EB5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14 §</w:t>
                            </w:r>
                          </w:p>
                          <w:p w14:paraId="22FCA12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Hautamuistomerkit</w:t>
                            </w:r>
                          </w:p>
                          <w:p w14:paraId="50BF549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haltija päättää haudalle sijoitettavista hautakivistä ja muista muistomerkeistä. Muistomerkin tulee olla hautausmaan yleiskuvaan sopiva eikä se saa loukata vainajan muistoa tai hautausmaan arvokkuutta. Muistomerkin hyväksyy hautausmaan ylläpitäjä.</w:t>
                            </w:r>
                          </w:p>
                          <w:p w14:paraId="571E307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Haudalle sijoitettua muistomerkkiä ei saa poistaa ilman hautausmaan ylläpitäjän suostumusta.</w:t>
                            </w:r>
                          </w:p>
                          <w:p w14:paraId="3C36948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lakattua hautausmaan ylläpitäjän tulee tarjota hautaoikeuden haltijalle tilaisuus poistaa hautamuistomerkki, jollei hautausmaan ylläpitäjä erityisestä syystä päätä pitää muistomerkistä huolta hautaoikeuden lakkaamisen jälkeen. Jos hautamuistomerkkiä ei ole poistettu kuuden kuukauden kuluessa siitä, kun hautaoikeuden haltijalle on varattu tilaisuus sen poistamiseen, hautamuistomerkki siirtyy hautausmaan ylläpitäjälle vastikkeetta.</w:t>
                            </w:r>
                          </w:p>
                        </w:txbxContent>
                      </wps:txbx>
                      <wps:bodyPr rot="0" vert="horz" wrap="square" lIns="91440" tIns="45720" rIns="91440" bIns="45720" anchor="t" anchorCtr="0" upright="1">
                        <a:spAutoFit/>
                      </wps:bodyPr>
                    </wps:wsp>
                  </a:graphicData>
                </a:graphic>
              </wp:inline>
            </w:drawing>
          </mc:Choice>
          <mc:Fallback>
            <w:pict>
              <v:shape w14:anchorId="5F928DE9" id="_x0000_s105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YS3THAIAADQEAAAOAAAAZHJzL2Uyb0RvYy54bWysU9tu2zAMfR+wfxD0vthJmjQ14hRduwwD ugvQ7QNkWY6FyaJGKbG7rx8lJ2nRbS/D9CCIonRIHh6ur4fOsINCr8GWfDrJOVNWQq3truTfvm7f rDjzQdhaGLCq5I/K8+vN61fr3hVqBi2YWiEjEOuL3pW8DcEVWeZlqzrhJ+CUJWcD2IlAJu6yGkVP 6J3JZnm+zHrA2iFI5T3d3o1Ovkn4TaNk+Nw0XgVmSk65hbRj2qu4Z5u1KHYoXKvlMQ3xD1l0QlsK eoa6E0GwPerfoDotETw0YSKhy6BptFSpBqpmmr+o5qEVTqVaiBzvzjT5/wcrPx0e3BdkYXgLAzUw FeHdPcjvnlm4bYXdqRtE6Fslago8jZRlvfPF8Wuk2hc+glT9R6ipyWIfIAENDXaRFaqTETo14PFM uhoCk3S5WC3niytySfLN88t8tUxtyURx+u7Qh/cKOhYPJUfqaoIXh3sfYjqiOD2J0TwYXW+1McnA XXVrkB0EKWCbVqrgxTNjWV/yq8VsMTLwV4g8rT9BdDqQlI3uSr46PxJF5O2drZPQgtBmPFPKxh6J jNyNLIahGpiuiYd5jBCJraB+JGoRRunSqNGhBfzJWU+yLbn/sReoODMfLLXnanpxEXWejIvF5YwM fO6pnnuElQRV8sDZeLwN42zsHepdS5FOgrihlm51Ivspq2P+JM3Ug+MYRe0/t9Orp2Hf/AI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NhLdMcAgAANAQAAA4AAAAAAAAAAAAAAAAALgIAAGRycy9lMm9Eb2MueG1sUEsBAi0A FAAGAAgAAAAhANJG6WvdAAAABQEAAA8AAAAAAAAAAAAAAAAAdgQAAGRycy9kb3ducmV2LnhtbFBL BQYAAAAABAAEAPMAAACABQAAAAA= ">
                <v:textbox style="mso-fit-shape-to-text:t">
                  <w:txbxContent>
                    <w:p w14:paraId="76A7EB5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14 §</w:t>
                      </w:r>
                    </w:p>
                    <w:p w14:paraId="22FCA129"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Hautamuistomerkit</w:t>
                      </w:r>
                    </w:p>
                    <w:p w14:paraId="50BF549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haltija päättää haudalle sijoitettavista hautakivistä ja muista muistomerkeistä. Muistomerkin tulee olla hautausmaan yleiskuvaan sopiva eikä se saa loukata vainajan muistoa tai hautausmaan arvokkuutta. Muistomerkin hyväksyy hautausmaan ylläpitäjä.</w:t>
                      </w:r>
                    </w:p>
                    <w:p w14:paraId="571E307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Haudalle sijoitettua muistomerkkiä ei saa poistaa ilman hautausmaan ylläpitäjän suostumusta.</w:t>
                      </w:r>
                    </w:p>
                    <w:p w14:paraId="3C36948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lakattua hautausmaan ylläpitäjän tulee tarjota hautaoikeuden haltijalle tilaisuus poistaa hautamuistomerkki, jollei hautausmaan ylläpitäjä erityisestä syystä päätä pitää muistomerkistä huolta hautaoikeuden lakkaamisen jälkeen. Jos hautamuistomerkkiä ei ole poistettu kuuden kuukauden kuluessa siitä, kun hautaoikeuden haltijalle on varattu tilaisuus sen poistamiseen, hautamuistomerkki siirtyy hautausmaan ylläpitäjälle vastikkeetta.</w:t>
                      </w:r>
                    </w:p>
                  </w:txbxContent>
                </v:textbox>
                <w10:anchorlock/>
              </v:shape>
            </w:pict>
          </mc:Fallback>
        </mc:AlternateContent>
      </w:r>
    </w:p>
    <w:p w14:paraId="0818F170"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05F13F3A" wp14:editId="13133C3C">
                <wp:extent cx="5863590" cy="2855595"/>
                <wp:effectExtent l="7620" t="12065" r="5715" b="12700"/>
                <wp:docPr id="3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8F9D09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60 §</w:t>
                            </w:r>
                          </w:p>
                          <w:p w14:paraId="72C324E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Muistomerkit</w:t>
                            </w:r>
                          </w:p>
                          <w:p w14:paraId="436B0CF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Seurakunnan tai seurakuntayhtymän hallinnassa oleva paikka, jossa on ollut kirkko, hautausmaa tai siunauskappeli, on merkittävä muistotaululla tai muulla muistomerkillä.</w:t>
                            </w:r>
                          </w:p>
                          <w:p w14:paraId="7CDDBE0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lakattua haudalla oleva taiteellisesti tai historiallisesti arvokas rakennelma tai muistomerkki, jota ei voida jättää paikalleen, on siirrettävä sopivaan paikkaan hautausmaalla tai säilytettävä muulla tavoin.</w:t>
                            </w:r>
                          </w:p>
                        </w:txbxContent>
                      </wps:txbx>
                      <wps:bodyPr rot="0" vert="horz" wrap="square" lIns="91440" tIns="45720" rIns="91440" bIns="45720" anchor="t" anchorCtr="0" upright="1">
                        <a:spAutoFit/>
                      </wps:bodyPr>
                    </wps:wsp>
                  </a:graphicData>
                </a:graphic>
              </wp:inline>
            </w:drawing>
          </mc:Choice>
          <mc:Fallback>
            <w:pict>
              <v:shape w14:anchorId="05F13F3A" id="_x0000_s106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gnQ4HA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iniYxgiR2C1UR6IWYZAujRodGsCfnHUk25L7H3uBijPzwVJ7bsbTadR5Mqaz6wkZ eOnZXnqElQRV8sDZcFyHYTb2DvWuoUhPgrijlm50Ivs5q1P+JM3Ug9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CCdDgcAgAANAQAAA4AAAAAAAAAAAAAAAAALgIAAGRycy9lMm9Eb2MueG1sUEsBAi0A FAAGAAgAAAAhANJG6WvdAAAABQEAAA8AAAAAAAAAAAAAAAAAdgQAAGRycy9kb3ducmV2LnhtbFBL BQYAAAAABAAEAPMAAACABQAAAAA= ">
                <v:textbox style="mso-fit-shape-to-text:t">
                  <w:txbxContent>
                    <w:p w14:paraId="08F9D09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60 §</w:t>
                      </w:r>
                    </w:p>
                    <w:p w14:paraId="72C324E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Muistomerkit</w:t>
                      </w:r>
                    </w:p>
                    <w:p w14:paraId="436B0CF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Seurakunnan tai seurakuntayhtymän hallinnassa oleva paikka, jossa on ollut kirkko, hautausmaa tai siunauskappeli, on merkittävä muistotaululla tai muulla muistomerkillä.</w:t>
                      </w:r>
                    </w:p>
                    <w:p w14:paraId="7CDDBE0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Hautaoikeuden lakattua haudalla oleva taiteellisesti tai historiallisesti arvokas rakennelma tai muistomerkki, jota ei voida jättää paikalleen, on siirrettävä sopivaan paikkaan hautausmaalla tai säilytettävä muulla tavoin.</w:t>
                      </w:r>
                    </w:p>
                  </w:txbxContent>
                </v:textbox>
                <w10:anchorlock/>
              </v:shape>
            </w:pict>
          </mc:Fallback>
        </mc:AlternateContent>
      </w:r>
    </w:p>
    <w:p w14:paraId="3FF30258"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63FA8B0F" wp14:editId="1DB5A04F">
                <wp:extent cx="5863590" cy="2855595"/>
                <wp:effectExtent l="7620" t="12065" r="5715" b="12700"/>
                <wp:docPr id="3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740D95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61 §</w:t>
                            </w:r>
                          </w:p>
                          <w:p w14:paraId="2DDF11A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Kulttuurihistoriallisesti arvokas omaisuus</w:t>
                            </w:r>
                          </w:p>
                          <w:p w14:paraId="61B6450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Seurakunnan ja seurakuntayhtymän on erityisellä huolella hoidettava omistamaansa tai hallitsemaansa kulttuurihistoriallisesti arvokasta omaisuutta ja esineistöä. Sitä ei saa ilman erityistä syytä korjata sitä muuttaen, siirtää perinteiseltä paikaltaan tai poistaa.</w:t>
                            </w:r>
                          </w:p>
                        </w:txbxContent>
                      </wps:txbx>
                      <wps:bodyPr rot="0" vert="horz" wrap="square" lIns="91440" tIns="45720" rIns="91440" bIns="45720" anchor="t" anchorCtr="0" upright="1">
                        <a:spAutoFit/>
                      </wps:bodyPr>
                    </wps:wsp>
                  </a:graphicData>
                </a:graphic>
              </wp:inline>
            </w:drawing>
          </mc:Choice>
          <mc:Fallback>
            <w:pict>
              <v:shape w14:anchorId="63FA8B0F" id="_x0000_s106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zIHUHAIAADQEAAAOAAAAZHJzL2Uyb0RvYy54bWysU9uO2yAQfa/Uf0C8N3aycTax4qy22aaq tL1I234AxthGxUAHEjv9+g44yUbb9qUqD4hh4MzMmTPru6FT5CDASaMLOp2klAjNTSV1U9BvX3dv lpQ4z3TFlNGioEfh6N3m9at1b3MxM61RlQCCINrlvS1o673Nk8TxVnTMTYwVGp21gY55NKFJKmA9 oncqmaXpIukNVBYMF87h7cPopJuIX9eC+8917YQnqqCYm487xL0Me7JZs7wBZlvJT2mwf8iiY1Jj 0AvUA/OM7EH+BtVJDsaZ2k+46RJT15KLWANWM01fVPPUMitiLUiOsxea3P+D5Z8OT/YLED+8NQM2 MBbh7KPh3x3RZtsy3Yh7ANO3glUYeBooS3rr8tPXQLXLXQAp+4+mwiazvTcRaKihC6xgnQTRsQHH C+li8ITjZbZc3GQrdHH03aS36XIR25Kw/PzdgvPvhelIOBQUsKsRnh0enQ/psPz8JERzRslqJ5WK BjTlVgE5MFTALq5YwYtnSpO+oKtslo0M/BUijetPEJ30KGUlu4IuL49YHnh7p6soNM+kGs+YstIn IgN3I4t+KAciK+QhCxECsaWpjkgtmFG6OGp4aA38pKRH2RbU/dgzEJSoDxrbs5rO50Hn0ZhntzM0 4NpTXnuY5ghVUE/JeNz6cTb2FmTTYqSzIO6xpTsZyX7O6pQ/SjP24DRGQfvXdnz1POyb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DMgdQcAgAANAQAAA4AAAAAAAAAAAAAAAAALgIAAGRycy9lMm9Eb2MueG1sUEsBAi0A FAAGAAgAAAAhANJG6WvdAAAABQEAAA8AAAAAAAAAAAAAAAAAdgQAAGRycy9kb3ducmV2LnhtbFBL BQYAAAAABAAEAPMAAACABQAAAAA= ">
                <v:textbox style="mso-fit-shape-to-text:t">
                  <w:txbxContent>
                    <w:p w14:paraId="1740D95A"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Kirkkojärjestys 3 luku 61 §</w:t>
                      </w:r>
                    </w:p>
                    <w:p w14:paraId="2DDF11A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Kulttuurihistoriallisesti arvokas omaisuus</w:t>
                      </w:r>
                    </w:p>
                    <w:p w14:paraId="61B6450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Seurakunnan ja seurakuntayhtymän on erityisellä huolella hoidettava omistamaansa tai hallitsemaansa kulttuurihistoriallisesti arvokasta omaisuutta ja esineistöä. Sitä ei saa ilman erityistä syytä korjata sitä muuttaen, siirtää perinteiseltä paikaltaan tai poistaa.</w:t>
                      </w:r>
                    </w:p>
                  </w:txbxContent>
                </v:textbox>
                <w10:anchorlock/>
              </v:shape>
            </w:pict>
          </mc:Fallback>
        </mc:AlternateContent>
      </w:r>
    </w:p>
    <w:p w14:paraId="68ADCDB2"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32" w:name="_Toc532225608"/>
      <w:bookmarkStart w:id="33" w:name="_Toc4743917"/>
      <w:bookmarkStart w:id="34" w:name="_Toc5108617"/>
      <w:bookmarkStart w:id="35" w:name="_Hlk523727191"/>
      <w:bookmarkStart w:id="36" w:name="_Hlk12283227"/>
      <w:bookmarkStart w:id="37" w:name="_Hlk523727217"/>
      <w:bookmarkStart w:id="38" w:name="_Toc232169021"/>
      <w:r w:rsidRPr="004F2B60">
        <w:rPr>
          <w:rFonts w:asciiTheme="minorHAnsi" w:hAnsiTheme="minorHAnsi" w:cstheme="minorHAnsi"/>
          <w:lang w:eastAsia="en-US"/>
        </w:rPr>
        <w:t xml:space="preserve">14 § </w:t>
      </w:r>
      <w:bookmarkEnd w:id="32"/>
      <w:bookmarkEnd w:id="33"/>
      <w:bookmarkEnd w:id="34"/>
      <w:r w:rsidRPr="004F2B60">
        <w:rPr>
          <w:rFonts w:asciiTheme="minorHAnsi" w:hAnsiTheme="minorHAnsi" w:cstheme="minorHAnsi"/>
          <w:lang w:eastAsia="en-US"/>
        </w:rPr>
        <w:t>Hautakirjanpito</w:t>
      </w:r>
      <w:bookmarkEnd w:id="38"/>
    </w:p>
    <w:p w14:paraId="6EB91CCC" w14:textId="77777777" w:rsidR="004F2B60" w:rsidRPr="004F2B60" w:rsidRDefault="004F2B60" w:rsidP="004F2B60">
      <w:pPr>
        <w:spacing w:before="120" w:after="120" w:line="288" w:lineRule="auto"/>
        <w:rPr>
          <w:rFonts w:asciiTheme="minorHAnsi" w:eastAsia="Calibri" w:hAnsiTheme="minorHAnsi" w:cstheme="minorHAnsi"/>
          <w:lang w:eastAsia="en-US"/>
        </w:rPr>
      </w:pPr>
      <w:bookmarkStart w:id="39" w:name="_Toc532225609"/>
      <w:bookmarkStart w:id="40" w:name="_Toc4743918"/>
      <w:bookmarkStart w:id="41" w:name="_Toc5108618"/>
      <w:bookmarkEnd w:id="35"/>
      <w:bookmarkEnd w:id="36"/>
      <w:r w:rsidRPr="004F2B60">
        <w:rPr>
          <w:rFonts w:asciiTheme="minorHAnsi" w:eastAsia="Calibri" w:hAnsiTheme="minorHAnsi" w:cstheme="minorHAnsi"/>
          <w:lang w:eastAsia="en-US"/>
        </w:rPr>
        <w:t>Hautarekisteri sisältää aina hautaustoimilain 12 §:n 1 momentin mukaiset pakolliset tiedot.</w:t>
      </w:r>
    </w:p>
    <w:p w14:paraId="4E92B6F8" w14:textId="77777777" w:rsidR="004F2B60" w:rsidRPr="004F2B60" w:rsidRDefault="004F2B60" w:rsidP="004F2B60">
      <w:pPr>
        <w:spacing w:before="120" w:after="120" w:line="288" w:lineRule="auto"/>
        <w:rPr>
          <w:rFonts w:asciiTheme="minorHAnsi" w:eastAsia="Calibri" w:hAnsiTheme="minorHAnsi" w:cstheme="minorHAnsi"/>
          <w:color w:val="00B050"/>
          <w:lang w:eastAsia="en-US"/>
        </w:rPr>
      </w:pPr>
      <w:r w:rsidRPr="004F2B60">
        <w:rPr>
          <w:rFonts w:asciiTheme="minorHAnsi" w:eastAsia="Calibri" w:hAnsiTheme="minorHAnsi" w:cstheme="minorHAnsi"/>
          <w:lang w:eastAsia="en-US"/>
        </w:rPr>
        <w:t>Hautaoikeuden haltijaa ja haudan hallinta-aikaa koskevat tiedot eivät lain mukaan ole pakollisia. Hautaoikeuden haltijatiedot voidaan merkitä hautarekisteriin vain, jos ne on ilmoitettu seurakunnalle. Rekisteriin kuuluu vain vuoden kuluessa haudan alkuperäisestä luovutuksesta tehty sopimus.</w:t>
      </w:r>
    </w:p>
    <w:p w14:paraId="6D82217B"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5BD3B2B7" wp14:editId="637C0346">
                <wp:extent cx="5863590" cy="2855595"/>
                <wp:effectExtent l="7620" t="12065" r="5715" b="12700"/>
                <wp:docPr id="3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19F075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12 §</w:t>
                            </w:r>
                          </w:p>
                          <w:p w14:paraId="7CE8BA3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Hautarekisteri</w:t>
                            </w:r>
                          </w:p>
                          <w:p w14:paraId="073DB445"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Hautausmaan ylläpitäjän on pidettävä rekisteriä, josta ilmenevät </w:t>
                            </w:r>
                            <w:bookmarkStart w:id="42" w:name="_Hlk133220367"/>
                            <w:r w:rsidRPr="004F2B60">
                              <w:rPr>
                                <w:rFonts w:asciiTheme="minorHAnsi" w:hAnsiTheme="minorHAnsi" w:cstheme="minorHAnsi"/>
                                <w:sz w:val="21"/>
                                <w:szCs w:val="21"/>
                              </w:rPr>
                              <w:t>vainajan:</w:t>
                            </w:r>
                          </w:p>
                          <w:p w14:paraId="65396327"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1) sukunimi ja etunimet;</w:t>
                            </w:r>
                          </w:p>
                          <w:p w14:paraId="659DAFD3"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2) syntymäaika tai henkilötunnus;</w:t>
                            </w:r>
                          </w:p>
                          <w:p w14:paraId="6D6F17A1"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3) kuolinaika;</w:t>
                            </w:r>
                          </w:p>
                          <w:p w14:paraId="59EA5D7E"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4) hautaamisajankohta;</w:t>
                            </w:r>
                          </w:p>
                          <w:p w14:paraId="0F119B18"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5) hautaamistapa; sekä</w:t>
                            </w:r>
                          </w:p>
                          <w:p w14:paraId="3177A5E9"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6) haudan sijainti.</w:t>
                            </w:r>
                          </w:p>
                          <w:bookmarkEnd w:id="42"/>
                          <w:p w14:paraId="5624AC5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Rekisteriin voidaan merkitä myös </w:t>
                            </w:r>
                            <w:bookmarkStart w:id="43" w:name="_Hlk133221541"/>
                            <w:r w:rsidRPr="004F2B60">
                              <w:rPr>
                                <w:rFonts w:asciiTheme="minorHAnsi" w:hAnsiTheme="minorHAnsi" w:cstheme="minorHAnsi"/>
                                <w:sz w:val="21"/>
                                <w:szCs w:val="21"/>
                              </w:rPr>
                              <w:t>hautaoikeuden haltijan nimi ja postiosoite, hautaoikeuden voimassaoloaika sekä tieto siitä, keitä hautaan voidaan haudata. Lisäksi rekisteriin voidaan merkitä hautausmaalla olevat taiteellisesti tai historiallisesti arvokkaat muistomerkit ja niiden sijainti.</w:t>
                            </w:r>
                            <w:bookmarkEnd w:id="43"/>
                          </w:p>
                          <w:p w14:paraId="57F4777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Vainajista, joiden tuhka on sijoitettu muistolehtoon, merkitään rekisteriin 1 momentissa säädetyt tiedot lukuun ottamatta tuhkan sijaintia.</w:t>
                            </w:r>
                          </w:p>
                          <w:p w14:paraId="5899209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Tässä pykälässä tarkoitettu rekisteri tulee säilyttää pysyvästi. Kun 8 §:ssä tarkoitettu yhteisö tai säätiö lopettaa toimintansa, tulee tässä pykälässä tarkoitetut asiakirjat luovuttaa säilytettäviksi arkistolaitokseen.</w:t>
                            </w:r>
                          </w:p>
                        </w:txbxContent>
                      </wps:txbx>
                      <wps:bodyPr rot="0" vert="horz" wrap="square" lIns="91440" tIns="45720" rIns="91440" bIns="45720" anchor="t" anchorCtr="0" upright="1">
                        <a:spAutoFit/>
                      </wps:bodyPr>
                    </wps:wsp>
                  </a:graphicData>
                </a:graphic>
              </wp:inline>
            </w:drawing>
          </mc:Choice>
          <mc:Fallback>
            <w:pict>
              <v:shape w14:anchorId="5BD3B2B7" id="_x0000_s106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Ge86HA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iniYxwiR2C1UR6IWYZAujRodGsCfnHUk25L7H3uBijPzwVJ7bsbTadR5Mqaz6wkZ eOnZXnqElQRV8sDZcFyHYTb2DvWuoUhPgrijlm50Ivs5q1P+JM3Ug9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EZ7zocAgAANAQAAA4AAAAAAAAAAAAAAAAALgIAAGRycy9lMm9Eb2MueG1sUEsBAi0A FAAGAAgAAAAhANJG6WvdAAAABQEAAA8AAAAAAAAAAAAAAAAAdgQAAGRycy9kb3ducmV2LnhtbFBL BQYAAAAABAAEAPMAAACABQAAAAA= ">
                <v:textbox style="mso-fit-shape-to-text:t">
                  <w:txbxContent>
                    <w:p w14:paraId="719F075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Hautaustoimilaki 12 §</w:t>
                      </w:r>
                    </w:p>
                    <w:p w14:paraId="7CE8BA3D"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Hautarekisteri</w:t>
                      </w:r>
                    </w:p>
                    <w:p w14:paraId="073DB445"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Hautausmaan ylläpitäjän on pidettävä rekisteriä, josta ilmenevät </w:t>
                      </w:r>
                      <w:bookmarkStart w:id="43" w:name="_Hlk133220367"/>
                      <w:r w:rsidRPr="004F2B60">
                        <w:rPr>
                          <w:rFonts w:asciiTheme="minorHAnsi" w:hAnsiTheme="minorHAnsi" w:cstheme="minorHAnsi"/>
                          <w:sz w:val="21"/>
                          <w:szCs w:val="21"/>
                        </w:rPr>
                        <w:t>vainajan:</w:t>
                      </w:r>
                    </w:p>
                    <w:p w14:paraId="65396327"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1) sukunimi ja etunimet;</w:t>
                      </w:r>
                    </w:p>
                    <w:p w14:paraId="659DAFD3"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2) syntymäaika tai henkilötunnus;</w:t>
                      </w:r>
                    </w:p>
                    <w:p w14:paraId="6D6F17A1"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3) kuolinaika;</w:t>
                      </w:r>
                    </w:p>
                    <w:p w14:paraId="59EA5D7E"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4) hautaamisajankohta;</w:t>
                      </w:r>
                    </w:p>
                    <w:p w14:paraId="0F119B18"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5) hautaamistapa; sekä</w:t>
                      </w:r>
                    </w:p>
                    <w:p w14:paraId="3177A5E9" w14:textId="77777777" w:rsidR="004F2B60" w:rsidRPr="004F2B60" w:rsidRDefault="004F2B60" w:rsidP="004F2B60">
                      <w:pPr>
                        <w:spacing w:before="40" w:after="40" w:line="288" w:lineRule="auto"/>
                        <w:rPr>
                          <w:rFonts w:asciiTheme="minorHAnsi" w:hAnsiTheme="minorHAnsi" w:cstheme="minorHAnsi"/>
                          <w:sz w:val="21"/>
                          <w:szCs w:val="21"/>
                        </w:rPr>
                      </w:pPr>
                      <w:r w:rsidRPr="004F2B60">
                        <w:rPr>
                          <w:rFonts w:asciiTheme="minorHAnsi" w:hAnsiTheme="minorHAnsi" w:cstheme="minorHAnsi"/>
                          <w:sz w:val="21"/>
                          <w:szCs w:val="21"/>
                        </w:rPr>
                        <w:t>6) haudan sijainti.</w:t>
                      </w:r>
                    </w:p>
                    <w:bookmarkEnd w:id="43"/>
                    <w:p w14:paraId="5624AC5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 xml:space="preserve">Rekisteriin voidaan merkitä myös </w:t>
                      </w:r>
                      <w:bookmarkStart w:id="44" w:name="_Hlk133221541"/>
                      <w:r w:rsidRPr="004F2B60">
                        <w:rPr>
                          <w:rFonts w:asciiTheme="minorHAnsi" w:hAnsiTheme="minorHAnsi" w:cstheme="minorHAnsi"/>
                          <w:sz w:val="21"/>
                          <w:szCs w:val="21"/>
                        </w:rPr>
                        <w:t>hautaoikeuden haltijan nimi ja postiosoite, hautaoikeuden voimassaoloaika sekä tieto siitä, keitä hautaan voidaan haudata. Lisäksi rekisteriin voidaan merkitä hautausmaalla olevat taiteellisesti tai historiallisesti arvokkaat muistomerkit ja niiden sijainti.</w:t>
                      </w:r>
                      <w:bookmarkEnd w:id="44"/>
                    </w:p>
                    <w:p w14:paraId="57F4777F"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Vainajista, joiden tuhka on sijoitettu muistolehtoon, merkitään rekisteriin 1 momentissa säädetyt tiedot lukuun ottamatta tuhkan sijaintia.</w:t>
                      </w:r>
                    </w:p>
                    <w:p w14:paraId="58992092"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Tässä pykälässä tarkoitettu rekisteri tulee säilyttää pysyvästi. Kun 8 §:ssä tarkoitettu yhteisö tai säätiö lopettaa toimintansa, tulee tässä pykälässä tarkoitetut asiakirjat luovuttaa säilytettäviksi arkistolaitokseen.</w:t>
                      </w:r>
                    </w:p>
                  </w:txbxContent>
                </v:textbox>
                <w10:anchorlock/>
              </v:shape>
            </w:pict>
          </mc:Fallback>
        </mc:AlternateContent>
      </w:r>
    </w:p>
    <w:p w14:paraId="344B6046"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44" w:name="_Toc532225611"/>
      <w:bookmarkStart w:id="45" w:name="_Toc4743920"/>
      <w:bookmarkStart w:id="46" w:name="_Toc5108620"/>
      <w:bookmarkStart w:id="47" w:name="_Toc232169022"/>
      <w:bookmarkEnd w:id="37"/>
      <w:bookmarkEnd w:id="39"/>
      <w:bookmarkEnd w:id="40"/>
      <w:bookmarkEnd w:id="41"/>
      <w:r w:rsidRPr="004F2B60">
        <w:rPr>
          <w:rFonts w:asciiTheme="minorHAnsi" w:hAnsiTheme="minorHAnsi" w:cstheme="minorHAnsi"/>
          <w:lang w:eastAsia="en-US"/>
        </w:rPr>
        <w:t>15 § Hautausmaalla noudatettava järjestys</w:t>
      </w:r>
      <w:bookmarkEnd w:id="44"/>
      <w:bookmarkEnd w:id="45"/>
      <w:bookmarkEnd w:id="46"/>
      <w:bookmarkEnd w:id="47"/>
    </w:p>
    <w:p w14:paraId="4AB9292F"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Hautausmaalla noudatetaan hiljaisuutta ja arvokkuutta. Hautoja, hautausmaan istutuksia ja nurmikoita ei saa vahingoittaa. Hautausmaan rauhaa häiritsevä työ on hautaustoimituksen ajaksi keskeytettävä.</w:t>
      </w:r>
    </w:p>
    <w:p w14:paraId="3C6DBC0D"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Moottoriajoneuvoliikenne ja pysäköinti on sallittua vain sille erikseen osoitetuilla alueilla. Muilla alueilla moottoriajoneuvoa saa käyttää vain ruumiin tai hautamuistomerkin kuljettamiseen taikka välttämättömään huoltoajoon. Ajoneuvojen tulee olla sellaisia, että hautausmaan käytävät kestävät niiden painon.</w:t>
      </w:r>
    </w:p>
    <w:p w14:paraId="58D41F9B" w14:textId="77777777" w:rsidR="004F2B60" w:rsidRPr="004F2B60" w:rsidRDefault="004F2B60" w:rsidP="004F2B60">
      <w:pPr>
        <w:widowControl w:val="0"/>
        <w:tabs>
          <w:tab w:val="left" w:pos="1134"/>
        </w:tabs>
        <w:autoSpaceDE w:val="0"/>
        <w:autoSpaceDN w:val="0"/>
        <w:adjustRightInd w:val="0"/>
        <w:spacing w:after="160" w:line="259" w:lineRule="auto"/>
        <w:jc w:val="both"/>
        <w:rPr>
          <w:rFonts w:asciiTheme="minorHAnsi" w:eastAsia="Calibri" w:hAnsiTheme="minorHAnsi" w:cstheme="minorHAnsi"/>
          <w:color w:val="000000" w:themeColor="text1"/>
          <w:lang w:eastAsia="en-US"/>
        </w:rPr>
      </w:pPr>
      <w:r w:rsidRPr="004F2B60">
        <w:rPr>
          <w:rFonts w:asciiTheme="minorHAnsi" w:eastAsia="Calibri" w:hAnsiTheme="minorHAnsi" w:cstheme="minorHAnsi"/>
          <w:color w:val="000000" w:themeColor="text1"/>
          <w:lang w:eastAsia="en-US"/>
        </w:rPr>
        <w:t xml:space="preserve">Hautausmaat tai niiden osat ovat yleisölle avoinna kiinteistöpalveluiden erikseen päättäminä aikoina. </w:t>
      </w:r>
    </w:p>
    <w:p w14:paraId="5CCD51D4"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Erityisinä juhla-aikoina, kuten pyhäinpäivänä, jouluna ja uudenvuodenpäivänä ja näiden aattoina sekä kiirastorstaista pääsiäispäivään hautausmaa on avoinna yleisölle läpi vuorokauden.</w:t>
      </w:r>
    </w:p>
    <w:p w14:paraId="4BC907A9"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Jätteet on lajiteltava kunnan jätehuoltomääräysten edellyttämällä tavalla.</w:t>
      </w:r>
    </w:p>
    <w:p w14:paraId="7A37A978"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27968ABE" wp14:editId="55556D98">
                <wp:extent cx="5863590" cy="2855595"/>
                <wp:effectExtent l="7620" t="12065" r="5715" b="12700"/>
                <wp:docPr id="3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E2AB9E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Järjestyslaki 2 §</w:t>
                            </w:r>
                          </w:p>
                          <w:p w14:paraId="682B263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Määritelmät</w:t>
                            </w:r>
                          </w:p>
                          <w:p w14:paraId="5A65EE8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Tässä laissa tarkoitetaan:</w:t>
                            </w:r>
                          </w:p>
                          <w:p w14:paraId="137BEBF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1) yleisellä paikalla:</w:t>
                            </w:r>
                          </w:p>
                          <w:p w14:paraId="14180414"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 ...hautausmaata tai muuta vastaavaa aluetta, joka on yleisön käytettävissä;</w:t>
                            </w:r>
                          </w:p>
                        </w:txbxContent>
                      </wps:txbx>
                      <wps:bodyPr rot="0" vert="horz" wrap="square" lIns="91440" tIns="45720" rIns="91440" bIns="45720" anchor="t" anchorCtr="0" upright="1">
                        <a:spAutoFit/>
                      </wps:bodyPr>
                    </wps:wsp>
                  </a:graphicData>
                </a:graphic>
              </wp:inline>
            </w:drawing>
          </mc:Choice>
          <mc:Fallback>
            <w:pict>
              <v:shape w14:anchorId="27968ABE" id="_x0000_s106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VxrW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FwEyNEYjdQHYhahEG6NGp0aAB/ctaRbEvuf+wEKs7MB0vtWYwmk6jzZEymN2My 8NKzufQIKwmq5IGz4XgfhtnYOdTbhiKdBHFHLV3rRPZzVsf8SZqpB8cxitq/tNOr52Ff/QI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FXGtYcAgAANAQAAA4AAAAAAAAAAAAAAAAALgIAAGRycy9lMm9Eb2MueG1sUEsBAi0A FAAGAAgAAAAhANJG6WvdAAAABQEAAA8AAAAAAAAAAAAAAAAAdgQAAGRycy9kb3ducmV2LnhtbFBL BQYAAAAABAAEAPMAAACABQAAAAA= ">
                <v:textbox style="mso-fit-shape-to-text:t">
                  <w:txbxContent>
                    <w:p w14:paraId="1E2AB9EB"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Järjestyslaki 2 §</w:t>
                      </w:r>
                    </w:p>
                    <w:p w14:paraId="682B2637"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Määritelmät</w:t>
                      </w:r>
                    </w:p>
                    <w:p w14:paraId="5A65EE83"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Tässä laissa tarkoitetaan:</w:t>
                      </w:r>
                    </w:p>
                    <w:p w14:paraId="137BEBF6"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1) yleisellä paikalla:</w:t>
                      </w:r>
                    </w:p>
                    <w:p w14:paraId="14180414" w14:textId="77777777" w:rsidR="004F2B60" w:rsidRPr="004F2B60" w:rsidRDefault="004F2B60" w:rsidP="004F2B60">
                      <w:pPr>
                        <w:spacing w:before="120" w:after="120" w:line="288" w:lineRule="auto"/>
                        <w:rPr>
                          <w:rFonts w:asciiTheme="minorHAnsi" w:hAnsiTheme="minorHAnsi" w:cstheme="minorHAnsi"/>
                          <w:sz w:val="21"/>
                          <w:szCs w:val="21"/>
                        </w:rPr>
                      </w:pPr>
                      <w:r w:rsidRPr="004F2B60">
                        <w:rPr>
                          <w:rFonts w:asciiTheme="minorHAnsi" w:hAnsiTheme="minorHAnsi" w:cstheme="minorHAnsi"/>
                          <w:sz w:val="21"/>
                          <w:szCs w:val="21"/>
                        </w:rPr>
                        <w:t>a) ...hautausmaata tai muuta vastaavaa aluetta, joka on yleisön käytettävissä;</w:t>
                      </w:r>
                    </w:p>
                  </w:txbxContent>
                </v:textbox>
                <w10:anchorlock/>
              </v:shape>
            </w:pict>
          </mc:Fallback>
        </mc:AlternateContent>
      </w:r>
    </w:p>
    <w:p w14:paraId="446D60F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495A4080" wp14:editId="26695800">
                <wp:extent cx="5863590" cy="2855595"/>
                <wp:effectExtent l="7620" t="12065" r="5715" b="12700"/>
                <wp:docPr id="3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11E03F2" w14:textId="42E878F1"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 xml:space="preserve">Kirkkojärjestys 3 luku 55 § 2 </w:t>
                            </w:r>
                            <w:r w:rsidR="001B3D72" w:rsidRPr="00FE22F0">
                              <w:rPr>
                                <w:rFonts w:asciiTheme="minorHAnsi" w:hAnsiTheme="minorHAnsi" w:cstheme="minorHAnsi"/>
                                <w:sz w:val="21"/>
                                <w:szCs w:val="21"/>
                              </w:rPr>
                              <w:t>mom.</w:t>
                            </w:r>
                          </w:p>
                          <w:p w14:paraId="378A41A4"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Hautausmaa ja vainajien säilytystila</w:t>
                            </w:r>
                          </w:p>
                          <w:p w14:paraId="4E050B8A"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 xml:space="preserve">Hautausmaan ja tunnustuksettoman hauta-alueen tulee olla aidattu tai muuten selvästi erottuvalla tavalla rajattu. </w:t>
                            </w:r>
                          </w:p>
                        </w:txbxContent>
                      </wps:txbx>
                      <wps:bodyPr rot="0" vert="horz" wrap="square" lIns="91440" tIns="45720" rIns="91440" bIns="45720" anchor="t" anchorCtr="0" upright="1">
                        <a:spAutoFit/>
                      </wps:bodyPr>
                    </wps:wsp>
                  </a:graphicData>
                </a:graphic>
              </wp:inline>
            </w:drawing>
          </mc:Choice>
          <mc:Fallback>
            <w:pict>
              <v:shape w14:anchorId="495A4080" id="_x0000_s106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2C03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Ewjx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bYLTccAgAANAQAAA4AAAAAAAAAAAAAAAAALgIAAGRycy9lMm9Eb2MueG1sUEsBAi0A FAAGAAgAAAAhANJG6WvdAAAABQEAAA8AAAAAAAAAAAAAAAAAdgQAAGRycy9kb3ducmV2LnhtbFBL BQYAAAAABAAEAPMAAACABQAAAAA= ">
                <v:textbox style="mso-fit-shape-to-text:t">
                  <w:txbxContent>
                    <w:p w14:paraId="411E03F2" w14:textId="42E878F1"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 xml:space="preserve">Kirkkojärjestys 3 luku 55 § 2 </w:t>
                      </w:r>
                      <w:r w:rsidR="001B3D72" w:rsidRPr="00FE22F0">
                        <w:rPr>
                          <w:rFonts w:asciiTheme="minorHAnsi" w:hAnsiTheme="minorHAnsi" w:cstheme="minorHAnsi"/>
                          <w:sz w:val="21"/>
                          <w:szCs w:val="21"/>
                        </w:rPr>
                        <w:t>mom.</w:t>
                      </w:r>
                    </w:p>
                    <w:p w14:paraId="378A41A4"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Hautausmaa ja vainajien säilytystila</w:t>
                      </w:r>
                    </w:p>
                    <w:p w14:paraId="4E050B8A"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 xml:space="preserve">Hautausmaan ja tunnustuksettoman hauta-alueen tulee olla aidattu tai muuten selvästi erottuvalla tavalla rajattu. </w:t>
                      </w:r>
                    </w:p>
                  </w:txbxContent>
                </v:textbox>
                <w10:anchorlock/>
              </v:shape>
            </w:pict>
          </mc:Fallback>
        </mc:AlternateContent>
      </w:r>
    </w:p>
    <w:p w14:paraId="332D0399"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48" w:name="_Hlk164255147"/>
      <w:bookmarkStart w:id="49" w:name="_Toc232169023"/>
      <w:r w:rsidRPr="004F2B60">
        <w:rPr>
          <w:rFonts w:asciiTheme="minorHAnsi" w:hAnsiTheme="minorHAnsi" w:cstheme="minorHAnsi"/>
        </w:rPr>
        <w:t>16 § Erimielisyyden ratkaiseminen</w:t>
      </w:r>
      <w:bookmarkEnd w:id="49"/>
    </w:p>
    <w:p w14:paraId="60EFDCB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Aloitteentekijän tai vaatimuksen esittäjän on tarvittaessa esitettävä hakemuksensa liitteinä sukuselvitys, josta käy ilmi kyseisen asian asianosaiset, todisteelliset tiedot suoritetusta kuulemisesta sekä asianosaisten yhteystiedot.</w:t>
      </w:r>
    </w:p>
    <w:bookmarkEnd w:id="48"/>
    <w:p w14:paraId="6CF289E1"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3261C840" wp14:editId="6C4C0754">
                <wp:extent cx="5863590" cy="2855595"/>
                <wp:effectExtent l="7620" t="12065" r="5715" b="12700"/>
                <wp:docPr id="2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36FEE3F"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Hallintolaki 31 §</w:t>
                            </w:r>
                          </w:p>
                          <w:p w14:paraId="1813BABC"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Selvittämisvelvollisuus</w:t>
                            </w:r>
                          </w:p>
                          <w:p w14:paraId="47EF7B97"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Viranomaisen on huolehdittava asian riittävästä ja asianmukaisesta selvittämisestä hankkimalla asian ratkaisemiseksi tarpeelliset tiedot sekä selvitykset.</w:t>
                            </w:r>
                          </w:p>
                          <w:p w14:paraId="496519A9"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Asianosaisen on esitettävä selvitystä vaatimuksensa perusteista. Asianosaisen on muutoinkin myötävaikutettava vireille panemansa asian selvittämiseen.</w:t>
                            </w:r>
                          </w:p>
                        </w:txbxContent>
                      </wps:txbx>
                      <wps:bodyPr rot="0" vert="horz" wrap="square" lIns="91440" tIns="45720" rIns="91440" bIns="45720" anchor="t" anchorCtr="0" upright="1">
                        <a:spAutoFit/>
                      </wps:bodyPr>
                    </wps:wsp>
                  </a:graphicData>
                </a:graphic>
              </wp:inline>
            </w:drawing>
          </mc:Choice>
          <mc:Fallback>
            <w:pict>
              <v:shape w14:anchorId="3261C840" id="_x0000_s106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ltjb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GwiB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aW2NscAgAANAQAAA4AAAAAAAAAAAAAAAAALgIAAGRycy9lMm9Eb2MueG1sUEsBAi0A FAAGAAgAAAAhANJG6WvdAAAABQEAAA8AAAAAAAAAAAAAAAAAdgQAAGRycy9kb3ducmV2LnhtbFBL BQYAAAAABAAEAPMAAACABQAAAAA= ">
                <v:textbox style="mso-fit-shape-to-text:t">
                  <w:txbxContent>
                    <w:p w14:paraId="236FEE3F"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Hallintolaki 31 §</w:t>
                      </w:r>
                    </w:p>
                    <w:p w14:paraId="1813BABC"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Selvittämisvelvollisuus</w:t>
                      </w:r>
                    </w:p>
                    <w:p w14:paraId="47EF7B97"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Viranomaisen on huolehdittava asian riittävästä ja asianmukaisesta selvittämisestä hankkimalla asian ratkaisemiseksi tarpeelliset tiedot sekä selvitykset.</w:t>
                      </w:r>
                    </w:p>
                    <w:p w14:paraId="496519A9"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Asianosaisen on esitettävä selvitystä vaatimuksensa perusteista. Asianosaisen on muutoinkin myötävaikutettava vireille panemansa asian selvittämiseen.</w:t>
                      </w:r>
                    </w:p>
                  </w:txbxContent>
                </v:textbox>
                <w10:anchorlock/>
              </v:shape>
            </w:pict>
          </mc:Fallback>
        </mc:AlternateContent>
      </w:r>
    </w:p>
    <w:p w14:paraId="2FA06830"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3BC217AE" wp14:editId="201332EC">
                <wp:extent cx="5863590" cy="2855595"/>
                <wp:effectExtent l="7620" t="12065" r="5715" b="12700"/>
                <wp:docPr id="4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CFC2F08"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Hallintolaki 34 § 1 mom.</w:t>
                            </w:r>
                          </w:p>
                          <w:p w14:paraId="41A510AF"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Asianosaisen kuuleminen</w:t>
                            </w:r>
                          </w:p>
                          <w:p w14:paraId="747DEE0D" w14:textId="77777777" w:rsidR="004F2B60" w:rsidRPr="0080775C" w:rsidRDefault="004F2B60" w:rsidP="004F2B60">
                            <w:pPr>
                              <w:spacing w:before="120" w:after="120" w:line="288" w:lineRule="auto"/>
                              <w:rPr>
                                <w:sz w:val="21"/>
                                <w:szCs w:val="21"/>
                              </w:rPr>
                            </w:pPr>
                            <w:r w:rsidRPr="00FE22F0">
                              <w:rPr>
                                <w:rFonts w:asciiTheme="minorHAnsi" w:hAnsiTheme="minorHAnsi" w:cstheme="minorHAnsi"/>
                                <w:sz w:val="21"/>
                                <w:szCs w:val="21"/>
                              </w:rPr>
                              <w:t>Asianosaiselle on ennen asian ratkaisemista varattava tilaisuus lausua mielipiteensä asiasta sekä antaa selityksensä sellaisista vaatimuksista ja selvityksistä, jotka saattavat vaikuttaa asian ratkaisuun.</w:t>
                            </w:r>
                          </w:p>
                        </w:txbxContent>
                      </wps:txbx>
                      <wps:bodyPr rot="0" vert="horz" wrap="square" lIns="91440" tIns="45720" rIns="91440" bIns="45720" anchor="t" anchorCtr="0" upright="1">
                        <a:spAutoFit/>
                      </wps:bodyPr>
                    </wps:wsp>
                  </a:graphicData>
                </a:graphic>
              </wp:inline>
            </w:drawing>
          </mc:Choice>
          <mc:Fallback>
            <w:pict>
              <v:shape w14:anchorId="3BC217AE" id="_x0000_s106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H3dyGwIAADQEAAAOAAAAZHJzL2Uyb0RvYy54bWysU1+P2jAMf5+07xDlfbRwwEFFOd24MU26 /ZFu+wBpmtJoaZw5gZZ9+rkpcOi2vUzLQ2THzs/2z/bqrmsMOyj0GmzOx6OUM2UllNrucv7t6/bN gjMfhC2FAatyflSe361fv1q1LlMTqMGUChmBWJ+1Lud1CC5LEi9r1Qg/AqcsGSvARgRScZeUKFpC b0wySdN50gKWDkEq7+n1YTDydcSvKiXD56ryKjCTc8otxBvjXfR3sl6JbIfC1Vqe0hD/kEUjtKWg F6gHEQTbo/4NqtESwUMVRhKaBKpKSxVroGrG6YtqnmrhVKyFyPHuQpP/f7Dy0+HJfUEWurfQUQNj Ed49gvzumYVNLexO3SNCWytRUuBxT1nSOp+dvvZU+8z3IEX7EUpqstgHiEBdhU3PCtXJCJ0acLyQ rrrAJD3OFvOb2ZJMkmw36W26mMe2JCI7f3fow3sFDeuFnCN1NcKLw6MPfToiO7v00TwYXW61MVHB XbExyA6CJmAbT6zghZuxrM35cjaZDQz8FSKN508QjQ40ykY3OV9cnETW8/bOlnHQgtBmkCllY09E 9twNLIau6Jgucz6NFPTEFlAeiVqEYXRp1UioAX9y1tLY5tz/2AtUnJkPltqzHE/pLwtRmc5uJ6Tg taW4tggrCSrngbNB3IRhN/YO9a6mSOeBuKeWbnUk+zmrU/40mrEHpzXqZ/9aj17Py77+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cx93chsCAAA0BAAADgAAAAAAAAAAAAAAAAAuAgAAZHJzL2Uyb0RvYy54bWxQSwECLQAU AAYACAAAACEA0kbpa90AAAAFAQAADwAAAAAAAAAAAAAAAAB1BAAAZHJzL2Rvd25yZXYueG1sUEsF BgAAAAAEAAQA8wAAAH8FAAAAAA== ">
                <v:textbox style="mso-fit-shape-to-text:t">
                  <w:txbxContent>
                    <w:p w14:paraId="0CFC2F08"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Hallintolaki 34 § 1 mom.</w:t>
                      </w:r>
                    </w:p>
                    <w:p w14:paraId="41A510AF"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Asianosaisen kuuleminen</w:t>
                      </w:r>
                    </w:p>
                    <w:p w14:paraId="747DEE0D" w14:textId="77777777" w:rsidR="004F2B60" w:rsidRPr="0080775C" w:rsidRDefault="004F2B60" w:rsidP="004F2B60">
                      <w:pPr>
                        <w:spacing w:before="120" w:after="120" w:line="288" w:lineRule="auto"/>
                        <w:rPr>
                          <w:sz w:val="21"/>
                          <w:szCs w:val="21"/>
                        </w:rPr>
                      </w:pPr>
                      <w:r w:rsidRPr="00FE22F0">
                        <w:rPr>
                          <w:rFonts w:asciiTheme="minorHAnsi" w:hAnsiTheme="minorHAnsi" w:cstheme="minorHAnsi"/>
                          <w:sz w:val="21"/>
                          <w:szCs w:val="21"/>
                        </w:rPr>
                        <w:t>Asianosaiselle on ennen asian ratkaisemista varattava tilaisuus lausua mielipiteensä asiasta sekä antaa selityksensä sellaisista vaatimuksista ja selvityksistä, jotka saattavat vaikuttaa asian ratkaisuun.</w:t>
                      </w:r>
                    </w:p>
                  </w:txbxContent>
                </v:textbox>
                <w10:anchorlock/>
              </v:shape>
            </w:pict>
          </mc:Fallback>
        </mc:AlternateContent>
      </w:r>
    </w:p>
    <w:p w14:paraId="37C9BF3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mc:AlternateContent>
          <mc:Choice Requires="wps">
            <w:drawing>
              <wp:inline distT="0" distB="0" distL="0" distR="0" wp14:anchorId="1B9550DE" wp14:editId="4A4C12EA">
                <wp:extent cx="5863590" cy="2855595"/>
                <wp:effectExtent l="7620" t="12065" r="5715" b="12700"/>
                <wp:docPr id="4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6B61994" w14:textId="393C1503"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 xml:space="preserve">Kirkkolaki 3 luku 31 § </w:t>
                            </w:r>
                            <w:r w:rsidR="00EB343E">
                              <w:rPr>
                                <w:rFonts w:asciiTheme="minorHAnsi" w:hAnsiTheme="minorHAnsi" w:cstheme="minorHAnsi"/>
                                <w:sz w:val="21"/>
                                <w:szCs w:val="21"/>
                              </w:rPr>
                              <w:t>3</w:t>
                            </w:r>
                            <w:r w:rsidRPr="00FE22F0">
                              <w:rPr>
                                <w:rFonts w:asciiTheme="minorHAnsi" w:hAnsiTheme="minorHAnsi" w:cstheme="minorHAnsi"/>
                                <w:sz w:val="21"/>
                                <w:szCs w:val="21"/>
                              </w:rPr>
                              <w:t xml:space="preserve"> mom.</w:t>
                            </w:r>
                          </w:p>
                          <w:p w14:paraId="32FFF977"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Hautaoikeuden haltija</w:t>
                            </w:r>
                          </w:p>
                          <w:p w14:paraId="211214A3"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Jos ensimmäiseksi hautaan haudatun vainajan lähimmät perilliset eivät ole sopineet hautaoikeuden uudesta haltijasta, kirkkoneuvosto voi määrätä hautaoikeuden haltijan. Kirkkoneuvosto voi antaa etusijan paikkakunnalla asuvalle tai sille, joka on huolehtinut haudan hoidosta.</w:t>
                            </w:r>
                          </w:p>
                        </w:txbxContent>
                      </wps:txbx>
                      <wps:bodyPr rot="0" vert="horz" wrap="square" lIns="91440" tIns="45720" rIns="91440" bIns="45720" anchor="t" anchorCtr="0" upright="1">
                        <a:spAutoFit/>
                      </wps:bodyPr>
                    </wps:wsp>
                  </a:graphicData>
                </a:graphic>
              </wp:inline>
            </w:drawing>
          </mc:Choice>
          <mc:Fallback>
            <w:pict>
              <v:shape w14:anchorId="1B9550DE" id="_x0000_s106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UYKeHAIAADQEAAAOAAAAZHJzL2Uyb0RvYy54bWysU9tu2zAMfR+wfxD0vthJkzQ14hRdugwD ugvQ7QMUWY6FyaJGKbGzrx8lp2nQbS/D9CCQInVEHh4tb/vWsINCr8GWfDzKOVNWQqXtruTfvm7e LDjzQdhKGLCq5Efl+e3q9atl5wo1gQZMpZARiPVF50rehOCKLPOyUa3wI3DKUrAGbEUgF3dZhaIj 9NZkkzyfZx1g5RCk8p5O74cgXyX8ulYyfK5rrwIzJafaQtox7du4Z6ulKHYoXKPlqQzxD1W0Qlt6 9Ax1L4Jge9S/QbVaIniow0hCm0Fda6lSD9TNOH/RzWMjnEq9EDnenWny/w9Wfjo8ui/IQv8Wehpg asK7B5DfPbOwboTdqTtE6BolKnp4HCnLOueL09VItS98BNl2H6GiIYt9gATU19hGVqhPRug0gOOZ dNUHJulwtphfzW4oJCl2lV/ni3kaSyaKp+sOfXivoGXRKDnSVBO8ODz4EMsRxVNKfM2D0dVGG5Mc 3G3XBtlBkAI2aaUOXqQZy7qS38wms4GBv0Lkaf0JotWBpGx0W/LFOUkUkbd3tkpCC0KbwaaSjT0R GbkbWAz9tme6Kvk00RyJ3UJ1JGoRBunSVyOjAfzJWUeyLbn/sReoODMfLI3nZjydRp0nZzq7npCD l5HtZURYSVAlD5wN5joMf2PvUO8aeulJEHc00o1OZD9XdaqfpJlmcPpGUfuXfsp6/uyr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NNRgp4cAgAANAQAAA4AAAAAAAAAAAAAAAAALgIAAGRycy9lMm9Eb2MueG1sUEsBAi0A FAAGAAgAAAAhANJG6WvdAAAABQEAAA8AAAAAAAAAAAAAAAAAdgQAAGRycy9kb3ducmV2LnhtbFBL BQYAAAAABAAEAPMAAACABQAAAAA= ">
                <v:textbox style="mso-fit-shape-to-text:t">
                  <w:txbxContent>
                    <w:p w14:paraId="26B61994" w14:textId="393C1503"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 xml:space="preserve">Kirkkolaki 3 luku 31 § </w:t>
                      </w:r>
                      <w:r w:rsidR="00EB343E">
                        <w:rPr>
                          <w:rFonts w:asciiTheme="minorHAnsi" w:hAnsiTheme="minorHAnsi" w:cstheme="minorHAnsi"/>
                          <w:sz w:val="21"/>
                          <w:szCs w:val="21"/>
                        </w:rPr>
                        <w:t>3</w:t>
                      </w:r>
                      <w:r w:rsidRPr="00FE22F0">
                        <w:rPr>
                          <w:rFonts w:asciiTheme="minorHAnsi" w:hAnsiTheme="minorHAnsi" w:cstheme="minorHAnsi"/>
                          <w:sz w:val="21"/>
                          <w:szCs w:val="21"/>
                        </w:rPr>
                        <w:t xml:space="preserve"> mom.</w:t>
                      </w:r>
                    </w:p>
                    <w:p w14:paraId="32FFF977"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Hautaoikeuden haltija</w:t>
                      </w:r>
                    </w:p>
                    <w:p w14:paraId="211214A3"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Jos ensimmäiseksi hautaan haudatun vainajan lähimmät perilliset eivät ole sopineet hautaoikeuden uudesta haltijasta, kirkkoneuvosto voi määrätä hautaoikeuden haltijan. Kirkkoneuvosto voi antaa etusijan paikkakunnalla asuvalle tai sille, joka on huolehtinut haudan hoidosta.</w:t>
                      </w:r>
                    </w:p>
                  </w:txbxContent>
                </v:textbox>
                <w10:anchorlock/>
              </v:shape>
            </w:pict>
          </mc:Fallback>
        </mc:AlternateContent>
      </w:r>
    </w:p>
    <w:p w14:paraId="634A5070" w14:textId="34FCB500" w:rsidR="00CC37D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mc:AlternateContent>
          <mc:Choice Requires="wps">
            <w:drawing>
              <wp:inline distT="0" distB="0" distL="0" distR="0" wp14:anchorId="637E72AC" wp14:editId="05021E42">
                <wp:extent cx="5863590" cy="2855595"/>
                <wp:effectExtent l="7620" t="12065" r="5715" b="12700"/>
                <wp:docPr id="1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878F388"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Kirkkolaki 3 luku 34 §</w:t>
                            </w:r>
                          </w:p>
                          <w:p w14:paraId="1323762F"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Erimielisyyden ratkaiseminen</w:t>
                            </w:r>
                          </w:p>
                          <w:p w14:paraId="5279B161"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Kirkkoneuvosto ratkaisee erimielisyyden hautaoikeudesta, hautaoikeuden haltijasta ja hänen velvollisuuksistaan, siitä keitä hautaan voidaan haudata, hautamuistomerkistä sekä muusta hautaa tai hautaamista koskevasta asiasta, jollei hautaustoimilaissa toisin säädetä.</w:t>
                            </w:r>
                          </w:p>
                        </w:txbxContent>
                      </wps:txbx>
                      <wps:bodyPr rot="0" vert="horz" wrap="square" lIns="91440" tIns="45720" rIns="91440" bIns="45720" anchor="t" anchorCtr="0" upright="1">
                        <a:spAutoFit/>
                      </wps:bodyPr>
                    </wps:wsp>
                  </a:graphicData>
                </a:graphic>
              </wp:inline>
            </w:drawing>
          </mc:Choice>
          <mc:Fallback>
            <w:pict>
              <v:shape w14:anchorId="637E72AC" id="_x0000_s106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OxwHQ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TTSYwQid1CdSRqEQbp0qjRoQH8yVlHsi25/7EXqDgzHyy152Y8nUadJ2M6u56Q gZee7aVHWElQJQ+cDcd1GGZj71DvGor0JIg7aulGJ7KfszrlT9JMPTiN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ByhOxwHQIAADQEAAAOAAAAAAAAAAAAAAAAAC4CAABkcnMvZTJvRG9jLnhtbFBLAQIt ABQABgAIAAAAIQDSRulr3QAAAAUBAAAPAAAAAAAAAAAAAAAAAHcEAABkcnMvZG93bnJldi54bWxQ SwUGAAAAAAQABADzAAAAgQUAAAAA ">
                <v:textbox style="mso-fit-shape-to-text:t">
                  <w:txbxContent>
                    <w:p w14:paraId="3878F388"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Kirkkolaki 3 luku 34 §</w:t>
                      </w:r>
                    </w:p>
                    <w:p w14:paraId="1323762F"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Erimielisyyden ratkaiseminen</w:t>
                      </w:r>
                    </w:p>
                    <w:p w14:paraId="5279B161" w14:textId="77777777" w:rsidR="004F2B60" w:rsidRPr="00FE22F0" w:rsidRDefault="004F2B60" w:rsidP="004F2B60">
                      <w:pPr>
                        <w:spacing w:before="120" w:after="120" w:line="288" w:lineRule="auto"/>
                        <w:rPr>
                          <w:rFonts w:asciiTheme="minorHAnsi" w:hAnsiTheme="minorHAnsi" w:cstheme="minorHAnsi"/>
                          <w:sz w:val="21"/>
                          <w:szCs w:val="21"/>
                        </w:rPr>
                      </w:pPr>
                      <w:r w:rsidRPr="00FE22F0">
                        <w:rPr>
                          <w:rFonts w:asciiTheme="minorHAnsi" w:hAnsiTheme="minorHAnsi" w:cstheme="minorHAnsi"/>
                          <w:sz w:val="21"/>
                          <w:szCs w:val="21"/>
                        </w:rPr>
                        <w:t>Kirkkoneuvosto ratkaisee erimielisyyden hautaoikeudesta, hautaoikeuden haltijasta ja hänen velvollisuuksistaan, siitä keitä hautaan voidaan haudata, hautamuistomerkistä sekä muusta hautaa tai hautaamista koskevasta asiasta, jollei hautaustoimilaissa toisin säädetä.</w:t>
                      </w:r>
                    </w:p>
                  </w:txbxContent>
                </v:textbox>
                <w10:anchorlock/>
              </v:shape>
            </w:pict>
          </mc:Fallback>
        </mc:AlternateContent>
      </w:r>
    </w:p>
    <w:p w14:paraId="19CAFB2F" w14:textId="2D32AE9D" w:rsidR="00224E3E" w:rsidRPr="004F2B60" w:rsidRDefault="00224E3E" w:rsidP="00224E3E">
      <w:pPr>
        <w:keepNext/>
        <w:keepLines/>
        <w:spacing w:before="360" w:after="120" w:line="288" w:lineRule="auto"/>
        <w:outlineLvl w:val="2"/>
        <w:rPr>
          <w:rFonts w:asciiTheme="minorHAnsi" w:hAnsiTheme="minorHAnsi" w:cstheme="minorHAnsi"/>
        </w:rPr>
      </w:pPr>
      <w:bookmarkStart w:id="50" w:name="_Toc232169024"/>
      <w:r w:rsidRPr="004F2B60">
        <w:rPr>
          <w:rFonts w:asciiTheme="minorHAnsi" w:hAnsiTheme="minorHAnsi" w:cstheme="minorHAnsi"/>
        </w:rPr>
        <w:t>1</w:t>
      </w:r>
      <w:r>
        <w:rPr>
          <w:rFonts w:asciiTheme="minorHAnsi" w:hAnsiTheme="minorHAnsi" w:cstheme="minorHAnsi"/>
        </w:rPr>
        <w:t>7</w:t>
      </w:r>
      <w:r w:rsidRPr="004F2B60">
        <w:rPr>
          <w:rFonts w:asciiTheme="minorHAnsi" w:hAnsiTheme="minorHAnsi" w:cstheme="minorHAnsi"/>
        </w:rPr>
        <w:t xml:space="preserve"> § </w:t>
      </w:r>
      <w:r>
        <w:rPr>
          <w:rFonts w:asciiTheme="minorHAnsi" w:hAnsiTheme="minorHAnsi" w:cstheme="minorHAnsi"/>
        </w:rPr>
        <w:t>Muut määräykset</w:t>
      </w:r>
      <w:bookmarkEnd w:id="50"/>
    </w:p>
    <w:p w14:paraId="1B1301B5" w14:textId="43C4B1F2" w:rsidR="00224E3E" w:rsidRPr="004F2B60" w:rsidRDefault="00224E3E" w:rsidP="00224E3E">
      <w:pPr>
        <w:spacing w:before="120" w:after="120" w:line="288" w:lineRule="auto"/>
        <w:rPr>
          <w:rFonts w:asciiTheme="minorHAnsi" w:eastAsia="Calibri" w:hAnsiTheme="minorHAnsi" w:cstheme="minorHAnsi"/>
          <w:lang w:eastAsia="en-US"/>
        </w:rPr>
      </w:pPr>
      <w:r w:rsidRPr="00224E3E">
        <w:rPr>
          <w:rFonts w:asciiTheme="minorHAnsi" w:eastAsia="Calibri" w:hAnsiTheme="minorHAnsi" w:cstheme="minorHAnsi"/>
          <w:lang w:eastAsia="en-US"/>
        </w:rPr>
        <w:t>Jos hautausmaan ohjesäännön soveltamisesta syntyy kielellisiä tulkintavaikeuksia, pätee suomenkielinen versio.</w:t>
      </w:r>
    </w:p>
    <w:p w14:paraId="347F18C0" w14:textId="77777777" w:rsidR="00224E3E" w:rsidRDefault="00224E3E" w:rsidP="004F2B60">
      <w:pPr>
        <w:spacing w:before="120" w:after="120" w:line="288" w:lineRule="auto"/>
        <w:rPr>
          <w:rFonts w:asciiTheme="minorHAnsi" w:eastAsia="Calibri" w:hAnsiTheme="minorHAnsi" w:cstheme="minorHAnsi"/>
          <w:lang w:eastAsia="en-US"/>
        </w:rPr>
      </w:pPr>
    </w:p>
    <w:p w14:paraId="1DCEDDA6"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Voimaantulo</w:t>
      </w:r>
    </w:p>
    <w:p w14:paraId="2419E5C6" w14:textId="1E31C638"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Tämä ohjesääntö tulee voimaan</w:t>
      </w:r>
      <w:r w:rsidR="001B3D72">
        <w:rPr>
          <w:rFonts w:asciiTheme="minorHAnsi" w:eastAsia="Calibri" w:hAnsiTheme="minorHAnsi" w:cstheme="minorHAnsi"/>
          <w:lang w:eastAsia="en-US"/>
        </w:rPr>
        <w:t xml:space="preserve"> 1.10.2024.</w:t>
      </w:r>
    </w:p>
    <w:p w14:paraId="1090A6D0" w14:textId="375FEA81"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 xml:space="preserve">Tällä ohjesäännöllä kumotaan </w:t>
      </w:r>
      <w:r w:rsidR="001B3D72">
        <w:rPr>
          <w:rFonts w:asciiTheme="minorHAnsi" w:eastAsia="Calibri" w:hAnsiTheme="minorHAnsi" w:cstheme="minorHAnsi"/>
          <w:lang w:eastAsia="en-US"/>
        </w:rPr>
        <w:t xml:space="preserve">yhteisen </w:t>
      </w:r>
      <w:r w:rsidRPr="004F2B60">
        <w:rPr>
          <w:rFonts w:asciiTheme="minorHAnsi" w:eastAsia="Calibri" w:hAnsiTheme="minorHAnsi" w:cstheme="minorHAnsi"/>
          <w:lang w:eastAsia="en-US"/>
        </w:rPr>
        <w:t>kirkkovaltuuston</w:t>
      </w:r>
      <w:r w:rsidRPr="004F2B60">
        <w:rPr>
          <w:rFonts w:asciiTheme="minorHAnsi" w:eastAsia="Calibri" w:hAnsiTheme="minorHAnsi" w:cstheme="minorHAnsi"/>
          <w:color w:val="FF0000"/>
          <w:lang w:eastAsia="en-US"/>
        </w:rPr>
        <w:t xml:space="preserve"> </w:t>
      </w:r>
      <w:r w:rsidRPr="004F2B60">
        <w:rPr>
          <w:rFonts w:asciiTheme="minorHAnsi" w:eastAsia="Calibri" w:hAnsiTheme="minorHAnsi" w:cstheme="minorHAnsi"/>
          <w:lang w:eastAsia="en-US"/>
        </w:rPr>
        <w:t xml:space="preserve">27.3.2019 hyväksymä </w:t>
      </w:r>
      <w:r w:rsidR="00252865">
        <w:rPr>
          <w:rFonts w:asciiTheme="minorHAnsi" w:eastAsia="Calibri" w:hAnsiTheme="minorHAnsi" w:cstheme="minorHAnsi"/>
          <w:lang w:eastAsia="en-US"/>
        </w:rPr>
        <w:t xml:space="preserve">ja </w:t>
      </w:r>
      <w:r w:rsidR="001B3D72">
        <w:rPr>
          <w:rFonts w:asciiTheme="minorHAnsi" w:eastAsia="Calibri" w:hAnsiTheme="minorHAnsi" w:cstheme="minorHAnsi"/>
          <w:lang w:eastAsia="en-US"/>
        </w:rPr>
        <w:t>t</w:t>
      </w:r>
      <w:r w:rsidR="00252865">
        <w:rPr>
          <w:rFonts w:asciiTheme="minorHAnsi" w:eastAsia="Calibri" w:hAnsiTheme="minorHAnsi" w:cstheme="minorHAnsi"/>
          <w:lang w:eastAsia="en-US"/>
        </w:rPr>
        <w:t xml:space="preserve">uomiokapitulin 21.5.2019 vahvistama </w:t>
      </w:r>
      <w:r w:rsidRPr="004F2B60">
        <w:rPr>
          <w:rFonts w:asciiTheme="minorHAnsi" w:eastAsia="Calibri" w:hAnsiTheme="minorHAnsi" w:cstheme="minorHAnsi"/>
          <w:lang w:eastAsia="en-US"/>
        </w:rPr>
        <w:t>hautaustoimen ohjesääntö siihen myöhemmin tehtyine muutoksineen.</w:t>
      </w:r>
    </w:p>
    <w:p w14:paraId="23C863D7"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br w:type="page"/>
      </w:r>
    </w:p>
    <w:p w14:paraId="59AAFA42" w14:textId="77777777" w:rsidR="004F2B60" w:rsidRPr="004F2B60" w:rsidRDefault="004F2B60" w:rsidP="004F2B60">
      <w:pPr>
        <w:keepNext/>
        <w:keepLines/>
        <w:spacing w:before="360" w:after="120" w:line="288" w:lineRule="auto"/>
        <w:outlineLvl w:val="2"/>
        <w:rPr>
          <w:rFonts w:asciiTheme="minorHAnsi" w:hAnsiTheme="minorHAnsi" w:cstheme="minorHAnsi"/>
          <w:lang w:eastAsia="en-US"/>
        </w:rPr>
      </w:pPr>
      <w:bookmarkStart w:id="51" w:name="_Toc232169025"/>
      <w:r w:rsidRPr="004F2B60">
        <w:rPr>
          <w:rFonts w:asciiTheme="minorHAnsi" w:hAnsiTheme="minorHAnsi" w:cstheme="minorHAnsi"/>
          <w:lang w:eastAsia="en-US"/>
        </w:rPr>
        <w:lastRenderedPageBreak/>
        <w:t>Liite 1 Kuva haudasta, hautapaikasta ja hautasijasta</w:t>
      </w:r>
      <w:bookmarkEnd w:id="51"/>
    </w:p>
    <w:p w14:paraId="0F4F96F0"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drawing>
          <wp:inline distT="0" distB="0" distL="0" distR="0" wp14:anchorId="3D4F816D" wp14:editId="2E24F5F6">
            <wp:extent cx="4676775" cy="2809875"/>
            <wp:effectExtent l="0" t="0" r="0" b="0"/>
            <wp:docPr id="3" name="Kuva 1" descr="Haudalla tarkoitetaan yhden tai useamman vainajan hautaamista varten varattua maa-aluetta hautausma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1" descr="Haudalla tarkoitetaan yhden tai useamman vainajan hautaamista varten varattua maa-aluetta hautausmaall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6775" cy="2809875"/>
                    </a:xfrm>
                    <a:prstGeom prst="rect">
                      <a:avLst/>
                    </a:prstGeom>
                    <a:noFill/>
                    <a:ln>
                      <a:noFill/>
                    </a:ln>
                  </pic:spPr>
                </pic:pic>
              </a:graphicData>
            </a:graphic>
          </wp:inline>
        </w:drawing>
      </w:r>
    </w:p>
    <w:p w14:paraId="7B5E2A4F"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Kuva 1: Haudalla tarkoitetaan yhden tai useamman vainajan hautaamista varten varattua maa-aluetta hautausmaalla.</w:t>
      </w:r>
    </w:p>
    <w:p w14:paraId="668A1095"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drawing>
          <wp:inline distT="0" distB="0" distL="0" distR="0" wp14:anchorId="5AFC9D28" wp14:editId="2825E99D">
            <wp:extent cx="4229100" cy="4229100"/>
            <wp:effectExtent l="0" t="0" r="0" b="0"/>
            <wp:docPr id="2" name="Kuva 2" descr="Hautapaikalla tarkoitetaan yhtä tai useampaa päällekkäin haudattavaa arkkua varten varattua tilaa haudassa. Kuvan haudassa on kaksi arkkuhautapaikk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Hautapaikalla tarkoitetaan yhtä tai useampaa päällekkäin haudattavaa arkkua varten varattua tilaa haudassa. Kuvan haudassa on kaksi arkkuhautapaikka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9100" cy="4229100"/>
                    </a:xfrm>
                    <a:prstGeom prst="rect">
                      <a:avLst/>
                    </a:prstGeom>
                    <a:noFill/>
                    <a:ln>
                      <a:noFill/>
                    </a:ln>
                  </pic:spPr>
                </pic:pic>
              </a:graphicData>
            </a:graphic>
          </wp:inline>
        </w:drawing>
      </w:r>
    </w:p>
    <w:p w14:paraId="59AB15F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lang w:eastAsia="en-US"/>
        </w:rPr>
        <w:t>Kuva 2: Hautapaikalla tarkoitetaan yhtä tai useampaa päällekkäin haudattavaa arkkua varten varattua tilaa haudassa. Kuvan haudassa on kaksi arkkuhautapaikkaa. Maanpinnan tasossa hautapaikka vastaa yhden hautasijan kokoista aluetta.</w:t>
      </w:r>
    </w:p>
    <w:p w14:paraId="1375BB62" w14:textId="77777777" w:rsidR="004F2B60" w:rsidRPr="004F2B60" w:rsidRDefault="004F2B60" w:rsidP="004F2B60">
      <w:pPr>
        <w:spacing w:before="120" w:after="120" w:line="288" w:lineRule="auto"/>
        <w:rPr>
          <w:rFonts w:asciiTheme="minorHAnsi" w:eastAsia="Calibri" w:hAnsiTheme="minorHAnsi" w:cstheme="minorHAnsi"/>
          <w:lang w:eastAsia="en-US"/>
        </w:rPr>
      </w:pPr>
      <w:r w:rsidRPr="004F2B60">
        <w:rPr>
          <w:rFonts w:asciiTheme="minorHAnsi" w:eastAsia="Calibri" w:hAnsiTheme="minorHAnsi" w:cstheme="minorHAnsi"/>
          <w:noProof/>
          <w:lang w:eastAsia="en-US"/>
        </w:rPr>
        <w:lastRenderedPageBreak/>
        <w:drawing>
          <wp:inline distT="0" distB="0" distL="0" distR="0" wp14:anchorId="517FFCF5" wp14:editId="36182370">
            <wp:extent cx="4572000" cy="4572000"/>
            <wp:effectExtent l="0" t="0" r="0" b="0"/>
            <wp:docPr id="1726085088" name="Kuva 4" descr="Hautasijalla tarkoitetaan yhden arkun tai uurnan paikkaa haudassa. Kuvan haudassa, johon haudataan kahteen kerrokseen, on neljä arkkuhautasij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4" descr="Hautasijalla tarkoitetaan yhden arkun tai uurnan paikkaa haudassa. Kuvan haudassa, johon haudataan kahteen kerrokseen, on neljä arkkuhautasija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26A2699B" w14:textId="77777777" w:rsidR="004F2B60" w:rsidRPr="004F2B60" w:rsidRDefault="004F2B60" w:rsidP="004F2B60">
      <w:pPr>
        <w:spacing w:before="120" w:after="120" w:line="288" w:lineRule="auto"/>
        <w:rPr>
          <w:rFonts w:asciiTheme="minorHAnsi" w:eastAsia="Calibri" w:hAnsiTheme="minorHAnsi" w:cstheme="minorHAnsi"/>
          <w:b/>
          <w:bCs/>
          <w:noProof/>
          <w:lang w:eastAsia="en-US"/>
        </w:rPr>
      </w:pPr>
      <w:r w:rsidRPr="004F2B60">
        <w:rPr>
          <w:rFonts w:asciiTheme="minorHAnsi" w:eastAsia="Calibri" w:hAnsiTheme="minorHAnsi" w:cstheme="minorHAnsi"/>
          <w:lang w:eastAsia="en-US"/>
        </w:rPr>
        <w:t>Kuva 3: Hautasijalla tarkoitetaan yhden arkun tai uurnan paikkaa haudassa. Kuvan haudassa, johon haudataan kahteen kerrokseen, on neljä arkkuhautasijaa.</w:t>
      </w:r>
    </w:p>
    <w:p w14:paraId="3FBA3254" w14:textId="77777777" w:rsidR="004F2B60" w:rsidRPr="004F2B60" w:rsidRDefault="004F2B60" w:rsidP="004F2B60">
      <w:pPr>
        <w:spacing w:before="120" w:after="120" w:line="288" w:lineRule="auto"/>
        <w:rPr>
          <w:rFonts w:asciiTheme="minorHAnsi" w:eastAsia="Calibri" w:hAnsiTheme="minorHAnsi" w:cstheme="minorHAnsi"/>
          <w:lang w:eastAsia="en-US"/>
        </w:rPr>
      </w:pPr>
    </w:p>
    <w:p w14:paraId="47DAA919" w14:textId="77777777" w:rsidR="004F2B60" w:rsidRPr="004F2B60" w:rsidRDefault="004F2B60" w:rsidP="00577791">
      <w:pPr>
        <w:pStyle w:val="Asiateksti"/>
        <w:rPr>
          <w:rFonts w:asciiTheme="minorHAnsi" w:hAnsiTheme="minorHAnsi" w:cstheme="minorHAnsi"/>
          <w:spacing w:val="-3"/>
          <w:szCs w:val="24"/>
        </w:rPr>
      </w:pPr>
    </w:p>
    <w:p w14:paraId="5F9155E4" w14:textId="77777777" w:rsidR="00577791" w:rsidRPr="004F2B60" w:rsidRDefault="00577791" w:rsidP="00577791">
      <w:pPr>
        <w:pStyle w:val="Asiateksti"/>
        <w:rPr>
          <w:rFonts w:asciiTheme="minorHAnsi" w:hAnsiTheme="minorHAnsi" w:cstheme="minorHAnsi"/>
          <w:spacing w:val="-3"/>
          <w:szCs w:val="24"/>
        </w:rPr>
      </w:pPr>
    </w:p>
    <w:p w14:paraId="355C468B" w14:textId="77777777" w:rsidR="00577791" w:rsidRPr="004F2B60" w:rsidRDefault="00577791" w:rsidP="00577791">
      <w:pPr>
        <w:pStyle w:val="Asiateksti"/>
        <w:rPr>
          <w:rFonts w:asciiTheme="minorHAnsi" w:hAnsiTheme="minorHAnsi" w:cstheme="minorHAnsi"/>
          <w:spacing w:val="-3"/>
          <w:szCs w:val="24"/>
        </w:rPr>
      </w:pPr>
    </w:p>
    <w:p w14:paraId="5A277D45" w14:textId="31327453" w:rsidR="006A1812" w:rsidRPr="004F2B60" w:rsidRDefault="006A1812" w:rsidP="003B1A7B">
      <w:pPr>
        <w:pStyle w:val="Asiateksti"/>
        <w:rPr>
          <w:rFonts w:asciiTheme="minorHAnsi" w:hAnsiTheme="minorHAnsi" w:cstheme="minorHAnsi"/>
          <w:spacing w:val="-3"/>
          <w:szCs w:val="24"/>
        </w:rPr>
      </w:pPr>
    </w:p>
    <w:p w14:paraId="436A3521" w14:textId="025C7FAF" w:rsidR="00D40CC7" w:rsidRPr="004F2B60" w:rsidRDefault="00D40CC7" w:rsidP="000E17C5">
      <w:pPr>
        <w:pStyle w:val="Asiateksti"/>
        <w:rPr>
          <w:rFonts w:asciiTheme="minorHAnsi" w:hAnsiTheme="minorHAnsi" w:cstheme="minorHAnsi"/>
          <w:szCs w:val="24"/>
        </w:rPr>
      </w:pPr>
    </w:p>
    <w:sectPr w:rsidR="00D40CC7" w:rsidRPr="004F2B60" w:rsidSect="001136CD">
      <w:headerReference w:type="even" r:id="rId10"/>
      <w:headerReference w:type="default" r:id="rId11"/>
      <w:headerReference w:type="firs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8A158" w14:textId="77777777" w:rsidR="00C80A3D" w:rsidRDefault="00C80A3D">
      <w:r>
        <w:separator/>
      </w:r>
    </w:p>
  </w:endnote>
  <w:endnote w:type="continuationSeparator" w:id="0">
    <w:p w14:paraId="5FA5F9F3" w14:textId="77777777" w:rsidR="00C80A3D" w:rsidRDefault="00C80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455075"/>
      <w:docPartObj>
        <w:docPartGallery w:val="Page Numbers (Bottom of Page)"/>
        <w:docPartUnique/>
      </w:docPartObj>
    </w:sdtPr>
    <w:sdtEndPr/>
    <w:sdtContent>
      <w:p w14:paraId="210F3D2B" w14:textId="609DC1FF" w:rsidR="00CF22B5" w:rsidRDefault="00CF22B5">
        <w:pPr>
          <w:pStyle w:val="Alatunniste"/>
          <w:jc w:val="right"/>
        </w:pPr>
        <w:r>
          <w:fldChar w:fldCharType="begin"/>
        </w:r>
        <w:r>
          <w:instrText>PAGE   \* MERGEFORMAT</w:instrText>
        </w:r>
        <w:r>
          <w:fldChar w:fldCharType="separate"/>
        </w:r>
        <w:r>
          <w:t>2</w:t>
        </w:r>
        <w:r>
          <w:fldChar w:fldCharType="end"/>
        </w:r>
      </w:p>
    </w:sdtContent>
  </w:sdt>
  <w:p w14:paraId="590B497E" w14:textId="77777777" w:rsidR="00CF22B5" w:rsidRDefault="00CF22B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4933" w14:textId="77777777" w:rsidR="00C80A3D" w:rsidRDefault="00C80A3D">
      <w:r>
        <w:separator/>
      </w:r>
    </w:p>
  </w:footnote>
  <w:footnote w:type="continuationSeparator" w:id="0">
    <w:p w14:paraId="346FE106" w14:textId="77777777" w:rsidR="00C80A3D" w:rsidRDefault="00C80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2A2D" w14:textId="77777777" w:rsidR="0063357B" w:rsidRDefault="0063357B">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325CFE">
      <w:rPr>
        <w:rStyle w:val="Sivunumero"/>
        <w:noProof/>
      </w:rPr>
      <w:t>2</w:t>
    </w:r>
    <w:r>
      <w:rPr>
        <w:rStyle w:val="Sivunumero"/>
      </w:rPr>
      <w:fldChar w:fldCharType="end"/>
    </w:r>
  </w:p>
  <w:p w14:paraId="10B4EE45" w14:textId="77777777" w:rsidR="0063357B" w:rsidRDefault="0063357B">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2743" w14:textId="77777777" w:rsidR="0063357B" w:rsidRDefault="0063357B">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CA65D7">
      <w:rPr>
        <w:rStyle w:val="Sivunumero"/>
        <w:noProof/>
      </w:rPr>
      <w:t>6</w:t>
    </w:r>
    <w:r>
      <w:rPr>
        <w:rStyle w:val="Sivunumero"/>
      </w:rPr>
      <w:fldChar w:fldCharType="end"/>
    </w:r>
  </w:p>
  <w:p w14:paraId="7D9EF4E0" w14:textId="77777777" w:rsidR="0063357B" w:rsidRDefault="0063357B">
    <w:pPr>
      <w:pStyle w:val="Yltunnis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3E71" w14:textId="79645B1D" w:rsidR="00DC77FA" w:rsidRDefault="00D40775" w:rsidP="00CA65D7">
    <w:pPr>
      <w:pStyle w:val="Yltunniste"/>
      <w:jc w:val="right"/>
    </w:pPr>
    <w:r w:rsidRPr="00F80989">
      <w:rPr>
        <w:noProof/>
      </w:rPr>
      <w:drawing>
        <wp:inline distT="0" distB="0" distL="0" distR="0" wp14:anchorId="1A08565B" wp14:editId="4CE5AD69">
          <wp:extent cx="2311400" cy="365760"/>
          <wp:effectExtent l="0" t="0" r="0" b="0"/>
          <wp:docPr id="398174932" name="Kuva 1" descr="Kuva, joka sisältää kohteen teksti, Fontti, symboli, typografi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 joka sisältää kohteen teksti, Fontti, symboli, typografia  Tekoälyn generoima sisältö voi olla virheellistä."/>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365760"/>
                  </a:xfrm>
                  <a:prstGeom prst="rect">
                    <a:avLst/>
                  </a:prstGeom>
                  <a:noFill/>
                  <a:ln>
                    <a:noFill/>
                  </a:ln>
                </pic:spPr>
              </pic:pic>
            </a:graphicData>
          </a:graphic>
        </wp:inline>
      </w:drawing>
    </w:r>
  </w:p>
  <w:p w14:paraId="336F6033" w14:textId="77777777" w:rsidR="00427456" w:rsidRDefault="00427456">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21F"/>
    <w:multiLevelType w:val="hybridMultilevel"/>
    <w:tmpl w:val="0A64F088"/>
    <w:lvl w:ilvl="0" w:tplc="CB6EE6CE">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 w15:restartNumberingAfterBreak="0">
    <w:nsid w:val="08DD46F8"/>
    <w:multiLevelType w:val="hybridMultilevel"/>
    <w:tmpl w:val="728AB3BE"/>
    <w:lvl w:ilvl="0" w:tplc="040B000F">
      <w:start w:val="1"/>
      <w:numFmt w:val="decimal"/>
      <w:lvlText w:val="%1."/>
      <w:lvlJc w:val="left"/>
      <w:pPr>
        <w:ind w:left="1658" w:hanging="360"/>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2" w15:restartNumberingAfterBreak="0">
    <w:nsid w:val="179012D7"/>
    <w:multiLevelType w:val="hybridMultilevel"/>
    <w:tmpl w:val="2F9E3BF2"/>
    <w:lvl w:ilvl="0" w:tplc="CD8039BC">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3" w15:restartNumberingAfterBreak="0">
    <w:nsid w:val="2FFB7D7A"/>
    <w:multiLevelType w:val="hybridMultilevel"/>
    <w:tmpl w:val="E83848CE"/>
    <w:lvl w:ilvl="0" w:tplc="F04ACA56">
      <w:start w:val="8"/>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4" w15:restartNumberingAfterBreak="0">
    <w:nsid w:val="318A3416"/>
    <w:multiLevelType w:val="hybridMultilevel"/>
    <w:tmpl w:val="F82A227A"/>
    <w:lvl w:ilvl="0" w:tplc="040B0001">
      <w:start w:val="1"/>
      <w:numFmt w:val="bullet"/>
      <w:lvlText w:val=""/>
      <w:lvlJc w:val="left"/>
      <w:pPr>
        <w:ind w:left="2025" w:hanging="360"/>
      </w:pPr>
      <w:rPr>
        <w:rFonts w:ascii="Symbol" w:hAnsi="Symbol" w:hint="default"/>
      </w:rPr>
    </w:lvl>
    <w:lvl w:ilvl="1" w:tplc="040B0003" w:tentative="1">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5" w15:restartNumberingAfterBreak="0">
    <w:nsid w:val="34F0148D"/>
    <w:multiLevelType w:val="hybridMultilevel"/>
    <w:tmpl w:val="DB4CB0D0"/>
    <w:lvl w:ilvl="0" w:tplc="6AE07856">
      <w:start w:val="1"/>
      <w:numFmt w:val="decimal"/>
      <w:lvlText w:val="%1."/>
      <w:lvlJc w:val="left"/>
      <w:pPr>
        <w:ind w:left="1658" w:hanging="360"/>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6" w15:restartNumberingAfterBreak="0">
    <w:nsid w:val="3774238E"/>
    <w:multiLevelType w:val="hybridMultilevel"/>
    <w:tmpl w:val="29203120"/>
    <w:lvl w:ilvl="0" w:tplc="44D0444A">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7" w15:restartNumberingAfterBreak="0">
    <w:nsid w:val="48287D8F"/>
    <w:multiLevelType w:val="hybridMultilevel"/>
    <w:tmpl w:val="3EA221D0"/>
    <w:lvl w:ilvl="0" w:tplc="83781D58">
      <w:start w:val="1"/>
      <w:numFmt w:val="decimal"/>
      <w:lvlText w:val="%1."/>
      <w:lvlJc w:val="left"/>
      <w:pPr>
        <w:ind w:left="1658" w:hanging="360"/>
      </w:pPr>
      <w:rPr>
        <w:rFonts w:hint="default"/>
        <w:b w:val="0"/>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8" w15:restartNumberingAfterBreak="0">
    <w:nsid w:val="4FF8202D"/>
    <w:multiLevelType w:val="hybridMultilevel"/>
    <w:tmpl w:val="5E9639A6"/>
    <w:lvl w:ilvl="0" w:tplc="D806F1A2">
      <w:start w:val="1"/>
      <w:numFmt w:val="decimal"/>
      <w:lvlText w:val="%1."/>
      <w:lvlJc w:val="left"/>
      <w:pPr>
        <w:ind w:left="1662" w:hanging="360"/>
      </w:pPr>
      <w:rPr>
        <w:rFonts w:hint="default"/>
      </w:rPr>
    </w:lvl>
    <w:lvl w:ilvl="1" w:tplc="040B0019" w:tentative="1">
      <w:start w:val="1"/>
      <w:numFmt w:val="lowerLetter"/>
      <w:lvlText w:val="%2."/>
      <w:lvlJc w:val="left"/>
      <w:pPr>
        <w:ind w:left="2382" w:hanging="360"/>
      </w:pPr>
    </w:lvl>
    <w:lvl w:ilvl="2" w:tplc="040B001B" w:tentative="1">
      <w:start w:val="1"/>
      <w:numFmt w:val="lowerRoman"/>
      <w:lvlText w:val="%3."/>
      <w:lvlJc w:val="right"/>
      <w:pPr>
        <w:ind w:left="3102" w:hanging="180"/>
      </w:pPr>
    </w:lvl>
    <w:lvl w:ilvl="3" w:tplc="040B000F" w:tentative="1">
      <w:start w:val="1"/>
      <w:numFmt w:val="decimal"/>
      <w:lvlText w:val="%4."/>
      <w:lvlJc w:val="left"/>
      <w:pPr>
        <w:ind w:left="3822" w:hanging="360"/>
      </w:pPr>
    </w:lvl>
    <w:lvl w:ilvl="4" w:tplc="040B0019" w:tentative="1">
      <w:start w:val="1"/>
      <w:numFmt w:val="lowerLetter"/>
      <w:lvlText w:val="%5."/>
      <w:lvlJc w:val="left"/>
      <w:pPr>
        <w:ind w:left="4542" w:hanging="360"/>
      </w:pPr>
    </w:lvl>
    <w:lvl w:ilvl="5" w:tplc="040B001B" w:tentative="1">
      <w:start w:val="1"/>
      <w:numFmt w:val="lowerRoman"/>
      <w:lvlText w:val="%6."/>
      <w:lvlJc w:val="right"/>
      <w:pPr>
        <w:ind w:left="5262" w:hanging="180"/>
      </w:pPr>
    </w:lvl>
    <w:lvl w:ilvl="6" w:tplc="040B000F" w:tentative="1">
      <w:start w:val="1"/>
      <w:numFmt w:val="decimal"/>
      <w:lvlText w:val="%7."/>
      <w:lvlJc w:val="left"/>
      <w:pPr>
        <w:ind w:left="5982" w:hanging="360"/>
      </w:pPr>
    </w:lvl>
    <w:lvl w:ilvl="7" w:tplc="040B0019" w:tentative="1">
      <w:start w:val="1"/>
      <w:numFmt w:val="lowerLetter"/>
      <w:lvlText w:val="%8."/>
      <w:lvlJc w:val="left"/>
      <w:pPr>
        <w:ind w:left="6702" w:hanging="360"/>
      </w:pPr>
    </w:lvl>
    <w:lvl w:ilvl="8" w:tplc="040B001B" w:tentative="1">
      <w:start w:val="1"/>
      <w:numFmt w:val="lowerRoman"/>
      <w:lvlText w:val="%9."/>
      <w:lvlJc w:val="right"/>
      <w:pPr>
        <w:ind w:left="7422" w:hanging="180"/>
      </w:pPr>
    </w:lvl>
  </w:abstractNum>
  <w:abstractNum w:abstractNumId="9" w15:restartNumberingAfterBreak="0">
    <w:nsid w:val="5BB861CF"/>
    <w:multiLevelType w:val="hybridMultilevel"/>
    <w:tmpl w:val="260CFD24"/>
    <w:lvl w:ilvl="0" w:tplc="D480DCC6">
      <w:start w:val="4"/>
      <w:numFmt w:val="decimal"/>
      <w:lvlText w:val="%1."/>
      <w:lvlJc w:val="left"/>
      <w:pPr>
        <w:ind w:left="1658" w:hanging="360"/>
      </w:pPr>
      <w:rPr>
        <w:rFonts w:hint="default"/>
        <w:b w:val="0"/>
        <w:color w:val="auto"/>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10" w15:restartNumberingAfterBreak="0">
    <w:nsid w:val="628D0C48"/>
    <w:multiLevelType w:val="hybridMultilevel"/>
    <w:tmpl w:val="7A7E8FC6"/>
    <w:lvl w:ilvl="0" w:tplc="9B4652DE">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1" w15:restartNumberingAfterBreak="0">
    <w:nsid w:val="641A028B"/>
    <w:multiLevelType w:val="hybridMultilevel"/>
    <w:tmpl w:val="B8E25434"/>
    <w:lvl w:ilvl="0" w:tplc="B1103822">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2" w15:restartNumberingAfterBreak="0">
    <w:nsid w:val="6C4439A7"/>
    <w:multiLevelType w:val="hybridMultilevel"/>
    <w:tmpl w:val="5836A58A"/>
    <w:lvl w:ilvl="0" w:tplc="918067CC">
      <w:start w:val="1"/>
      <w:numFmt w:val="decimal"/>
      <w:lvlText w:val="%1."/>
      <w:lvlJc w:val="left"/>
      <w:pPr>
        <w:ind w:left="1763" w:hanging="465"/>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num w:numId="1" w16cid:durableId="326789547">
    <w:abstractNumId w:val="7"/>
  </w:num>
  <w:num w:numId="2" w16cid:durableId="75714420">
    <w:abstractNumId w:val="9"/>
  </w:num>
  <w:num w:numId="3" w16cid:durableId="1720402253">
    <w:abstractNumId w:val="5"/>
  </w:num>
  <w:num w:numId="4" w16cid:durableId="1712999398">
    <w:abstractNumId w:val="3"/>
  </w:num>
  <w:num w:numId="5" w16cid:durableId="2130080816">
    <w:abstractNumId w:val="4"/>
  </w:num>
  <w:num w:numId="6" w16cid:durableId="636834389">
    <w:abstractNumId w:val="12"/>
  </w:num>
  <w:num w:numId="7" w16cid:durableId="1042246769">
    <w:abstractNumId w:val="8"/>
  </w:num>
  <w:num w:numId="8" w16cid:durableId="1655177244">
    <w:abstractNumId w:val="0"/>
  </w:num>
  <w:num w:numId="9" w16cid:durableId="333191059">
    <w:abstractNumId w:val="6"/>
  </w:num>
  <w:num w:numId="10" w16cid:durableId="133446411">
    <w:abstractNumId w:val="11"/>
  </w:num>
  <w:num w:numId="11" w16cid:durableId="73167047">
    <w:abstractNumId w:val="10"/>
  </w:num>
  <w:num w:numId="12" w16cid:durableId="479081813">
    <w:abstractNumId w:val="1"/>
  </w:num>
  <w:num w:numId="13" w16cid:durableId="113529509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C7"/>
    <w:rsid w:val="00020184"/>
    <w:rsid w:val="000946C8"/>
    <w:rsid w:val="000A12B5"/>
    <w:rsid w:val="000B3036"/>
    <w:rsid w:val="000C4562"/>
    <w:rsid w:val="000D09DA"/>
    <w:rsid w:val="000D316A"/>
    <w:rsid w:val="000E17C5"/>
    <w:rsid w:val="000F6F5B"/>
    <w:rsid w:val="001136CD"/>
    <w:rsid w:val="0012293F"/>
    <w:rsid w:val="00130AE3"/>
    <w:rsid w:val="001536A3"/>
    <w:rsid w:val="001700FE"/>
    <w:rsid w:val="00180BC2"/>
    <w:rsid w:val="00187EF4"/>
    <w:rsid w:val="001912C1"/>
    <w:rsid w:val="001B3D72"/>
    <w:rsid w:val="001E1B77"/>
    <w:rsid w:val="002063A2"/>
    <w:rsid w:val="00224E3E"/>
    <w:rsid w:val="00225048"/>
    <w:rsid w:val="00245D1D"/>
    <w:rsid w:val="0025223D"/>
    <w:rsid w:val="00252865"/>
    <w:rsid w:val="00261919"/>
    <w:rsid w:val="00274EF0"/>
    <w:rsid w:val="0028393C"/>
    <w:rsid w:val="002840E4"/>
    <w:rsid w:val="002A6FBA"/>
    <w:rsid w:val="00301B48"/>
    <w:rsid w:val="0030713E"/>
    <w:rsid w:val="00325CFE"/>
    <w:rsid w:val="00377C58"/>
    <w:rsid w:val="003B1A7B"/>
    <w:rsid w:val="003C2F38"/>
    <w:rsid w:val="003D0066"/>
    <w:rsid w:val="003D0D47"/>
    <w:rsid w:val="003E58B0"/>
    <w:rsid w:val="003F15C4"/>
    <w:rsid w:val="003F20A8"/>
    <w:rsid w:val="00402F74"/>
    <w:rsid w:val="00421E06"/>
    <w:rsid w:val="00422083"/>
    <w:rsid w:val="0042729B"/>
    <w:rsid w:val="00427456"/>
    <w:rsid w:val="00442A08"/>
    <w:rsid w:val="00443E24"/>
    <w:rsid w:val="004544DA"/>
    <w:rsid w:val="004D0FE1"/>
    <w:rsid w:val="004D5E90"/>
    <w:rsid w:val="004D69BE"/>
    <w:rsid w:val="004E478B"/>
    <w:rsid w:val="004F2B60"/>
    <w:rsid w:val="004F70D9"/>
    <w:rsid w:val="00524C95"/>
    <w:rsid w:val="0053799E"/>
    <w:rsid w:val="00546242"/>
    <w:rsid w:val="00553DC2"/>
    <w:rsid w:val="00555828"/>
    <w:rsid w:val="00577791"/>
    <w:rsid w:val="00597FFC"/>
    <w:rsid w:val="005F657F"/>
    <w:rsid w:val="00601323"/>
    <w:rsid w:val="0063357B"/>
    <w:rsid w:val="00647D0F"/>
    <w:rsid w:val="00665535"/>
    <w:rsid w:val="006905D8"/>
    <w:rsid w:val="006A1812"/>
    <w:rsid w:val="006A1F61"/>
    <w:rsid w:val="006A57D7"/>
    <w:rsid w:val="006C6E3B"/>
    <w:rsid w:val="006C7829"/>
    <w:rsid w:val="006D25C8"/>
    <w:rsid w:val="006E02ED"/>
    <w:rsid w:val="006E741F"/>
    <w:rsid w:val="006F7FAE"/>
    <w:rsid w:val="00704413"/>
    <w:rsid w:val="007278B1"/>
    <w:rsid w:val="00754091"/>
    <w:rsid w:val="0076728E"/>
    <w:rsid w:val="00777735"/>
    <w:rsid w:val="00794411"/>
    <w:rsid w:val="007E7EF4"/>
    <w:rsid w:val="008110FB"/>
    <w:rsid w:val="00870D68"/>
    <w:rsid w:val="008A2E36"/>
    <w:rsid w:val="008B58D3"/>
    <w:rsid w:val="008D0587"/>
    <w:rsid w:val="008F5EDA"/>
    <w:rsid w:val="00902636"/>
    <w:rsid w:val="009308F2"/>
    <w:rsid w:val="0093191F"/>
    <w:rsid w:val="009418AC"/>
    <w:rsid w:val="009526DD"/>
    <w:rsid w:val="00953BB3"/>
    <w:rsid w:val="00965D5B"/>
    <w:rsid w:val="009A784F"/>
    <w:rsid w:val="009D703E"/>
    <w:rsid w:val="009F42A2"/>
    <w:rsid w:val="00A03BB4"/>
    <w:rsid w:val="00A0796B"/>
    <w:rsid w:val="00A10212"/>
    <w:rsid w:val="00A25884"/>
    <w:rsid w:val="00A3373B"/>
    <w:rsid w:val="00A3706A"/>
    <w:rsid w:val="00A76063"/>
    <w:rsid w:val="00A77476"/>
    <w:rsid w:val="00A87AE2"/>
    <w:rsid w:val="00AC140B"/>
    <w:rsid w:val="00AF5993"/>
    <w:rsid w:val="00B37024"/>
    <w:rsid w:val="00B51C1C"/>
    <w:rsid w:val="00B70B47"/>
    <w:rsid w:val="00B74337"/>
    <w:rsid w:val="00B76417"/>
    <w:rsid w:val="00B872ED"/>
    <w:rsid w:val="00BA300A"/>
    <w:rsid w:val="00BB4DD3"/>
    <w:rsid w:val="00BC22CF"/>
    <w:rsid w:val="00BC63D2"/>
    <w:rsid w:val="00BF5D22"/>
    <w:rsid w:val="00C000B8"/>
    <w:rsid w:val="00C03F20"/>
    <w:rsid w:val="00C16EE3"/>
    <w:rsid w:val="00C21012"/>
    <w:rsid w:val="00C370D5"/>
    <w:rsid w:val="00C44ED6"/>
    <w:rsid w:val="00C520EC"/>
    <w:rsid w:val="00C53BDB"/>
    <w:rsid w:val="00C57154"/>
    <w:rsid w:val="00C62C19"/>
    <w:rsid w:val="00C80A3D"/>
    <w:rsid w:val="00C81350"/>
    <w:rsid w:val="00CA5BD8"/>
    <w:rsid w:val="00CA65D7"/>
    <w:rsid w:val="00CC37D0"/>
    <w:rsid w:val="00CC6717"/>
    <w:rsid w:val="00CD3C06"/>
    <w:rsid w:val="00CE312F"/>
    <w:rsid w:val="00CF22B5"/>
    <w:rsid w:val="00D12012"/>
    <w:rsid w:val="00D26E8E"/>
    <w:rsid w:val="00D40775"/>
    <w:rsid w:val="00D40CC7"/>
    <w:rsid w:val="00D57E97"/>
    <w:rsid w:val="00D77FB6"/>
    <w:rsid w:val="00DC77FA"/>
    <w:rsid w:val="00E144FE"/>
    <w:rsid w:val="00E148A5"/>
    <w:rsid w:val="00E33257"/>
    <w:rsid w:val="00E409EE"/>
    <w:rsid w:val="00E45F5D"/>
    <w:rsid w:val="00E666FF"/>
    <w:rsid w:val="00E77285"/>
    <w:rsid w:val="00E82177"/>
    <w:rsid w:val="00E9012E"/>
    <w:rsid w:val="00EA0A7C"/>
    <w:rsid w:val="00EA544A"/>
    <w:rsid w:val="00EB343E"/>
    <w:rsid w:val="00EC169B"/>
    <w:rsid w:val="00ED635C"/>
    <w:rsid w:val="00EE6A43"/>
    <w:rsid w:val="00F0350D"/>
    <w:rsid w:val="00F150E7"/>
    <w:rsid w:val="00F2394C"/>
    <w:rsid w:val="00F417CE"/>
    <w:rsid w:val="00F54887"/>
    <w:rsid w:val="00F97AE7"/>
    <w:rsid w:val="00FD5245"/>
    <w:rsid w:val="00FE22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77C36"/>
  <w15:chartTrackingRefBased/>
  <w15:docId w15:val="{B480E714-6808-4DDE-A529-D8C292FC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sz w:val="24"/>
      <w:szCs w:val="24"/>
    </w:rPr>
  </w:style>
  <w:style w:type="paragraph" w:styleId="Otsikko1">
    <w:name w:val="heading 1"/>
    <w:basedOn w:val="Normaali"/>
    <w:next w:val="Normaali"/>
    <w:qFormat/>
    <w:pPr>
      <w:keepNext/>
      <w:outlineLvl w:val="0"/>
    </w:pPr>
    <w:rPr>
      <w:rFonts w:ascii="Tahoma" w:hAnsi="Tahoma" w:cs="Tahoma"/>
      <w:b/>
      <w:bCs/>
      <w:sz w:val="28"/>
      <w:lang w:val="en-GB"/>
    </w:rPr>
  </w:style>
  <w:style w:type="paragraph" w:styleId="Otsikko3">
    <w:name w:val="heading 3"/>
    <w:basedOn w:val="Normaali"/>
    <w:next w:val="Normaali"/>
    <w:link w:val="Otsikko3Char"/>
    <w:uiPriority w:val="9"/>
    <w:semiHidden/>
    <w:unhideWhenUsed/>
    <w:qFormat/>
    <w:rsid w:val="004F2B60"/>
    <w:pPr>
      <w:keepNext/>
      <w:keepLines/>
      <w:spacing w:before="40"/>
      <w:outlineLvl w:val="2"/>
    </w:pPr>
    <w:rPr>
      <w:rFonts w:asciiTheme="majorHAnsi" w:eastAsiaTheme="majorEastAsia" w:hAnsiTheme="majorHAnsi" w:cstheme="majorBidi"/>
      <w:color w:val="1F3763" w:themeColor="accent1" w:themeShade="7F"/>
    </w:rPr>
  </w:style>
  <w:style w:type="paragraph" w:styleId="Otsikko6">
    <w:name w:val="heading 6"/>
    <w:basedOn w:val="Normaali"/>
    <w:next w:val="Normaali"/>
    <w:qFormat/>
    <w:pPr>
      <w:spacing w:before="240" w:after="60"/>
      <w:outlineLvl w:val="5"/>
    </w:pPr>
    <w:rPr>
      <w:b/>
      <w:bCs/>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KuntaToimistoTeksti">
    <w:name w:val="KuntaToimistoTeksti"/>
    <w:pPr>
      <w:tabs>
        <w:tab w:val="left" w:pos="0"/>
        <w:tab w:val="left" w:pos="1298"/>
        <w:tab w:val="left" w:pos="2591"/>
        <w:tab w:val="left" w:pos="3890"/>
        <w:tab w:val="left" w:pos="5182"/>
        <w:tab w:val="left" w:pos="6481"/>
        <w:tab w:val="left" w:pos="7779"/>
        <w:tab w:val="left" w:pos="8931"/>
      </w:tabs>
    </w:pPr>
    <w:rPr>
      <w:rFonts w:ascii="Tahoma" w:hAnsi="Tahoma"/>
      <w:sz w:val="24"/>
    </w:rPr>
  </w:style>
  <w:style w:type="paragraph" w:customStyle="1" w:styleId="Asiateksti">
    <w:name w:val="Asiateksti"/>
    <w:basedOn w:val="KuntaToimistoTeksti"/>
    <w:pPr>
      <w:ind w:left="1298" w:hanging="1298"/>
      <w:jc w:val="both"/>
    </w:pPr>
  </w:style>
  <w:style w:type="character" w:styleId="Sivunumero">
    <w:name w:val="page number"/>
    <w:basedOn w:val="Kappaleenoletusfontti"/>
  </w:style>
  <w:style w:type="paragraph" w:styleId="Yltunniste">
    <w:name w:val="header"/>
    <w:basedOn w:val="KuntaToimistoTeksti"/>
    <w:pPr>
      <w:tabs>
        <w:tab w:val="right" w:pos="9639"/>
      </w:tabs>
    </w:pPr>
  </w:style>
  <w:style w:type="paragraph" w:customStyle="1" w:styleId="Asialuettelo">
    <w:name w:val="Asialuettelo"/>
    <w:basedOn w:val="Normaali"/>
    <w:pPr>
      <w:tabs>
        <w:tab w:val="left" w:pos="0"/>
        <w:tab w:val="left" w:pos="1298"/>
        <w:tab w:val="left" w:pos="2591"/>
        <w:tab w:val="left" w:pos="3890"/>
        <w:tab w:val="left" w:pos="5182"/>
        <w:tab w:val="left" w:pos="6481"/>
        <w:tab w:val="left" w:pos="7779"/>
        <w:tab w:val="left" w:pos="8931"/>
      </w:tabs>
      <w:spacing w:after="240"/>
      <w:ind w:left="2596" w:hanging="1298"/>
      <w:jc w:val="both"/>
    </w:pPr>
    <w:rPr>
      <w:rFonts w:ascii="Tahoma" w:hAnsi="Tahoma"/>
      <w:szCs w:val="20"/>
    </w:rPr>
  </w:style>
  <w:style w:type="paragraph" w:styleId="Sisennettyleipteksti">
    <w:name w:val="Body Text Indent"/>
    <w:basedOn w:val="Normaali"/>
    <w:pPr>
      <w:ind w:left="1304"/>
    </w:pPr>
    <w:rPr>
      <w:rFonts w:ascii="Tahoma" w:hAnsi="Tahoma" w:cs="Tahoma"/>
      <w:b/>
      <w:bCs/>
    </w:rPr>
  </w:style>
  <w:style w:type="paragraph" w:styleId="Alatunniste">
    <w:name w:val="footer"/>
    <w:basedOn w:val="Normaali"/>
    <w:link w:val="AlatunnisteChar"/>
    <w:uiPriority w:val="99"/>
    <w:pPr>
      <w:tabs>
        <w:tab w:val="center" w:pos="4819"/>
        <w:tab w:val="right" w:pos="9638"/>
      </w:tabs>
    </w:pPr>
  </w:style>
  <w:style w:type="paragraph" w:styleId="Seliteteksti">
    <w:name w:val="Balloon Text"/>
    <w:basedOn w:val="Normaali"/>
    <w:semiHidden/>
    <w:rPr>
      <w:rFonts w:ascii="Tahoma" w:hAnsi="Tahoma" w:cs="Tahoma"/>
      <w:sz w:val="16"/>
      <w:szCs w:val="16"/>
    </w:rPr>
  </w:style>
  <w:style w:type="paragraph" w:styleId="Luettelokappale">
    <w:name w:val="List Paragraph"/>
    <w:basedOn w:val="Normaali"/>
    <w:qFormat/>
    <w:pPr>
      <w:ind w:left="1304"/>
    </w:pPr>
  </w:style>
  <w:style w:type="character" w:customStyle="1" w:styleId="YltunnisteChar">
    <w:name w:val="Ylätunniste Char"/>
    <w:rPr>
      <w:rFonts w:ascii="Tahoma" w:hAnsi="Tahoma"/>
      <w:sz w:val="24"/>
    </w:rPr>
  </w:style>
  <w:style w:type="character" w:customStyle="1" w:styleId="AlatunnisteChar">
    <w:name w:val="Alatunniste Char"/>
    <w:basedOn w:val="Kappaleenoletusfontti"/>
    <w:link w:val="Alatunniste"/>
    <w:uiPriority w:val="99"/>
    <w:rsid w:val="00CF22B5"/>
    <w:rPr>
      <w:sz w:val="24"/>
      <w:szCs w:val="24"/>
    </w:rPr>
  </w:style>
  <w:style w:type="paragraph" w:styleId="Sisluet1">
    <w:name w:val="toc 1"/>
    <w:basedOn w:val="Normaali"/>
    <w:next w:val="Normaali"/>
    <w:autoRedefine/>
    <w:uiPriority w:val="39"/>
    <w:unhideWhenUsed/>
    <w:rsid w:val="004F2B60"/>
    <w:pPr>
      <w:spacing w:after="100" w:line="259" w:lineRule="auto"/>
    </w:pPr>
    <w:rPr>
      <w:rFonts w:ascii="Open Sans" w:hAnsi="Open Sans"/>
      <w:sz w:val="22"/>
      <w:szCs w:val="22"/>
    </w:rPr>
  </w:style>
  <w:style w:type="character" w:styleId="Hyperlinkki">
    <w:name w:val="Hyperlink"/>
    <w:basedOn w:val="Kappaleenoletusfontti"/>
    <w:uiPriority w:val="99"/>
    <w:unhideWhenUsed/>
    <w:rsid w:val="004F2B60"/>
    <w:rPr>
      <w:color w:val="0563C1" w:themeColor="hyperlink"/>
      <w:u w:val="single"/>
    </w:rPr>
  </w:style>
  <w:style w:type="character" w:styleId="Ratkaisematonmaininta">
    <w:name w:val="Unresolved Mention"/>
    <w:basedOn w:val="Kappaleenoletusfontti"/>
    <w:uiPriority w:val="99"/>
    <w:semiHidden/>
    <w:unhideWhenUsed/>
    <w:rsid w:val="004F2B60"/>
    <w:rPr>
      <w:color w:val="605E5C"/>
      <w:shd w:val="clear" w:color="auto" w:fill="E1DFDD"/>
    </w:rPr>
  </w:style>
  <w:style w:type="character" w:customStyle="1" w:styleId="Otsikko3Char">
    <w:name w:val="Otsikko 3 Char"/>
    <w:basedOn w:val="Kappaleenoletusfontti"/>
    <w:link w:val="Otsikko3"/>
    <w:uiPriority w:val="9"/>
    <w:semiHidden/>
    <w:rsid w:val="004F2B60"/>
    <w:rPr>
      <w:rFonts w:asciiTheme="majorHAnsi" w:eastAsiaTheme="majorEastAsia" w:hAnsiTheme="majorHAnsi" w:cstheme="majorBidi"/>
      <w:color w:val="1F3763" w:themeColor="accent1" w:themeShade="7F"/>
      <w:sz w:val="24"/>
      <w:szCs w:val="24"/>
    </w:rPr>
  </w:style>
  <w:style w:type="paragraph" w:styleId="Sisluet3">
    <w:name w:val="toc 3"/>
    <w:basedOn w:val="Normaali"/>
    <w:next w:val="Normaali"/>
    <w:autoRedefine/>
    <w:uiPriority w:val="39"/>
    <w:unhideWhenUsed/>
    <w:rsid w:val="0025286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113087\Appdata\Templates\TWeb.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TWeb</Template>
  <TotalTime>0</TotalTime>
  <Pages>22</Pages>
  <Words>1970</Words>
  <Characters>16120</Characters>
  <Application>Microsoft Office Word</Application>
  <DocSecurity>0</DocSecurity>
  <Lines>328</Lines>
  <Paragraphs>137</Paragraphs>
  <ScaleCrop>false</ScaleCrop>
  <HeadingPairs>
    <vt:vector size="2" baseType="variant">
      <vt:variant>
        <vt:lpstr>Otsikko</vt:lpstr>
      </vt:variant>
      <vt:variant>
        <vt:i4>1</vt:i4>
      </vt:variant>
    </vt:vector>
  </HeadingPairs>
  <TitlesOfParts>
    <vt:vector size="1" baseType="lpstr">
      <vt:lpstr>d2 uusin</vt:lpstr>
    </vt:vector>
  </TitlesOfParts>
  <Company>espoon seurakuntayhtymä</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d2 uusin</dc:title>
  <dc:creator>HVNYHAIL</dc:creator>
  <cp:lastModifiedBy>Wilskman Juho</cp:lastModifiedBy>
  <cp:revision>2</cp:revision>
  <cp:lastPrinted>2017-05-03T06:17:00Z</cp:lastPrinted>
  <dcterms:created xsi:type="dcterms:W3CDTF">2026-06-12T12:03:00Z</dcterms:created>
  <dcterms:modified xsi:type="dcterms:W3CDTF">2026-06-12T12:03:00Z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a86e904213d1b6e086eee64627b89#tweb.espoonseurakunnat.fi!/TWeb/toaxfront!8080!0</vt:lpwstr>
  </property>
  <property fmtid="{D5CDD505-2E9C-101B-9397-08002B2CF9AE}" pid="3" name="tweb_doc_ownertitle">
    <vt:lpwstr>Hallintopalvelupäällikkö</vt:lpwstr>
  </property>
  <property fmtid="{D5CDD505-2E9C-101B-9397-08002B2CF9AE}" pid="4" name="tweb_user_name">
    <vt:lpwstr>Wilskman Juho-Erik järjestelmänvalvoja</vt:lpwstr>
  </property>
  <property fmtid="{D5CDD505-2E9C-101B-9397-08002B2CF9AE}" pid="5" name="tweb_user_surname">
    <vt:lpwstr/>
  </property>
  <property fmtid="{D5CDD505-2E9C-101B-9397-08002B2CF9AE}" pid="6" name="tweb_user_givenname">
    <vt:lpwstr/>
  </property>
  <property fmtid="{D5CDD505-2E9C-101B-9397-08002B2CF9AE}" pid="7" name="tweb_user_title">
    <vt:lpwstr/>
  </property>
  <property fmtid="{D5CDD505-2E9C-101B-9397-08002B2CF9AE}" pid="8" name="tweb_user_telephonenumber">
    <vt:lpwstr/>
  </property>
  <property fmtid="{D5CDD505-2E9C-101B-9397-08002B2CF9AE}" pid="9" name="tweb_user_facsimiletelephonenumber">
    <vt:lpwstr/>
  </property>
  <property fmtid="{D5CDD505-2E9C-101B-9397-08002B2CF9AE}" pid="10" name="tweb_user_rfc822mailbox">
    <vt:lpwstr/>
  </property>
  <property fmtid="{D5CDD505-2E9C-101B-9397-08002B2CF9AE}" pid="11" name="tweb_user_roomnumber">
    <vt:lpwstr/>
  </property>
  <property fmtid="{D5CDD505-2E9C-101B-9397-08002B2CF9AE}" pid="12" name="tweb_user_organization">
    <vt:lpwstr>Espoon seurakuntayhtymä/yhtymävirasto</vt:lpwstr>
  </property>
  <property fmtid="{D5CDD505-2E9C-101B-9397-08002B2CF9AE}" pid="13" name="tweb_user_department">
    <vt:lpwstr/>
  </property>
  <property fmtid="{D5CDD505-2E9C-101B-9397-08002B2CF9AE}" pid="14" name="tweb_user_group">
    <vt:lpwstr/>
  </property>
  <property fmtid="{D5CDD505-2E9C-101B-9397-08002B2CF9AE}" pid="15" name="tweb_user_postaladdress">
    <vt:lpwstr/>
  </property>
  <property fmtid="{D5CDD505-2E9C-101B-9397-08002B2CF9AE}" pid="16" name="tweb_user_postalcode">
    <vt:lpwstr/>
  </property>
  <property fmtid="{D5CDD505-2E9C-101B-9397-08002B2CF9AE}" pid="17" name="editKey">
    <vt:lpwstr>3cfcf3bd1286c226e96c6a4813aafec</vt:lpwstr>
  </property>
  <property fmtid="{D5CDD505-2E9C-101B-9397-08002B2CF9AE}" pid="18" name="tweb_doc_id">
    <vt:lpwstr>407007</vt:lpwstr>
  </property>
  <property fmtid="{D5CDD505-2E9C-101B-9397-08002B2CF9AE}" pid="19" name="tweb_doc_version">
    <vt:lpwstr/>
  </property>
  <property fmtid="{D5CDD505-2E9C-101B-9397-08002B2CF9AE}" pid="20" name="tweb_doc_title">
    <vt:lpwstr>E 1 Hautaustoimen ohjesääntö 2024</vt:lpwstr>
  </property>
  <property fmtid="{D5CDD505-2E9C-101B-9397-08002B2CF9AE}" pid="21" name="tweb_doc_typecode">
    <vt:lpwstr>00.01.01.03</vt:lpwstr>
  </property>
  <property fmtid="{D5CDD505-2E9C-101B-9397-08002B2CF9AE}" pid="22" name="tweb_doc_typename">
    <vt:lpwstr>Sääntö</vt:lpwstr>
  </property>
  <property fmtid="{D5CDD505-2E9C-101B-9397-08002B2CF9AE}" pid="23" name="tweb_doc_description">
    <vt:lpwstr>Logo vaihdettu 14.3.2025. Päivitetty pykälät kirkkolakin 12.6.2026</vt:lpwstr>
  </property>
  <property fmtid="{D5CDD505-2E9C-101B-9397-08002B2CF9AE}" pid="24" name="tweb_doc_status">
    <vt:lpwstr>Valmis</vt:lpwstr>
  </property>
  <property fmtid="{D5CDD505-2E9C-101B-9397-08002B2CF9AE}" pid="25" name="tweb_doc_identifier">
    <vt:lpwstr>D/338/00.01.01/2024</vt:lpwstr>
  </property>
  <property fmtid="{D5CDD505-2E9C-101B-9397-08002B2CF9AE}" pid="26" name="tweb_doc_publicityclass">
    <vt:lpwstr/>
  </property>
  <property fmtid="{D5CDD505-2E9C-101B-9397-08002B2CF9AE}" pid="27" name="tweb_doc_securityclass">
    <vt:lpwstr> </vt:lpwstr>
  </property>
  <property fmtid="{D5CDD505-2E9C-101B-9397-08002B2CF9AE}" pid="28" name="tweb_doc_securityreason">
    <vt:lpwstr/>
  </property>
  <property fmtid="{D5CDD505-2E9C-101B-9397-08002B2CF9AE}" pid="29" name="tweb_doc_securityperiod">
    <vt:lpwstr>0</vt:lpwstr>
  </property>
  <property fmtid="{D5CDD505-2E9C-101B-9397-08002B2CF9AE}" pid="30" name="tweb_doc_securityperiodstart">
    <vt:lpwstr>12.06.2026</vt:lpwstr>
  </property>
  <property fmtid="{D5CDD505-2E9C-101B-9397-08002B2CF9AE}" pid="31" name="tweb_doc_securityperiodend">
    <vt:lpwstr/>
  </property>
  <property fmtid="{D5CDD505-2E9C-101B-9397-08002B2CF9AE}" pid="32" name="tweb_doc_owner">
    <vt:lpwstr>Ollila Juha</vt:lpwstr>
  </property>
  <property fmtid="{D5CDD505-2E9C-101B-9397-08002B2CF9AE}" pid="33" name="tweb_doc_creator">
    <vt:lpwstr>Wilskman Juho-Erik järjestelmänvalvoja</vt:lpwstr>
  </property>
  <property fmtid="{D5CDD505-2E9C-101B-9397-08002B2CF9AE}" pid="34" name="tweb_doc_publisher">
    <vt:lpwstr>Espoon seurakuntayhtymä/Seurakuntayhtymän virasto/Kiinteistöpalvelut</vt:lpwstr>
  </property>
  <property fmtid="{D5CDD505-2E9C-101B-9397-08002B2CF9AE}" pid="35" name="tweb_doc_contributor">
    <vt:lpwstr/>
  </property>
  <property fmtid="{D5CDD505-2E9C-101B-9397-08002B2CF9AE}" pid="36" name="tweb_doc_fileextension">
    <vt:lpwstr>DOCX</vt:lpwstr>
  </property>
  <property fmtid="{D5CDD505-2E9C-101B-9397-08002B2CF9AE}" pid="37" name="tweb_doc_language">
    <vt:lpwstr>suomi</vt:lpwstr>
  </property>
  <property fmtid="{D5CDD505-2E9C-101B-9397-08002B2CF9AE}" pid="38" name="tweb_doc_created">
    <vt:lpwstr>10.04.2024</vt:lpwstr>
  </property>
  <property fmtid="{D5CDD505-2E9C-101B-9397-08002B2CF9AE}" pid="39" name="tweb_doc_modified">
    <vt:lpwstr>12.06.2026</vt:lpwstr>
  </property>
  <property fmtid="{D5CDD505-2E9C-101B-9397-08002B2CF9AE}" pid="40" name="tweb_doc_available">
    <vt:lpwstr/>
  </property>
  <property fmtid="{D5CDD505-2E9C-101B-9397-08002B2CF9AE}" pid="41" name="tweb_doc_acquired">
    <vt:lpwstr/>
  </property>
  <property fmtid="{D5CDD505-2E9C-101B-9397-08002B2CF9AE}" pid="42" name="tweb_doc_issued">
    <vt:lpwstr/>
  </property>
  <property fmtid="{D5CDD505-2E9C-101B-9397-08002B2CF9AE}" pid="43" name="tweb_doc_accepted">
    <vt:lpwstr>18.04.2024</vt:lpwstr>
  </property>
  <property fmtid="{D5CDD505-2E9C-101B-9397-08002B2CF9AE}" pid="44" name="tweb_doc_validfrom">
    <vt:lpwstr/>
  </property>
  <property fmtid="{D5CDD505-2E9C-101B-9397-08002B2CF9AE}" pid="45" name="tweb_doc_validto">
    <vt:lpwstr/>
  </property>
  <property fmtid="{D5CDD505-2E9C-101B-9397-08002B2CF9AE}" pid="46" name="tweb_doc_protectionclass">
    <vt:lpwstr>Ei suojeluluokiteltu</vt:lpwstr>
  </property>
  <property fmtid="{D5CDD505-2E9C-101B-9397-08002B2CF9AE}" pid="47" name="tweb_doc_retentionperiodstart">
    <vt:lpwstr/>
  </property>
  <property fmtid="{D5CDD505-2E9C-101B-9397-08002B2CF9AE}" pid="48" name="tweb_doc_retentionperiodend">
    <vt:lpwstr/>
  </property>
  <property fmtid="{D5CDD505-2E9C-101B-9397-08002B2CF9AE}" pid="49" name="tweb_doc_storagelocation">
    <vt:lpwstr/>
  </property>
  <property fmtid="{D5CDD505-2E9C-101B-9397-08002B2CF9AE}" pid="50" name="tweb_doc_publicationid">
    <vt:lpwstr/>
  </property>
  <property fmtid="{D5CDD505-2E9C-101B-9397-08002B2CF9AE}" pid="51" name="tweb_doc_copyright">
    <vt:lpwstr/>
  </property>
  <property fmtid="{D5CDD505-2E9C-101B-9397-08002B2CF9AE}" pid="52" name="tweb_doc_decisionnumber">
    <vt:lpwstr/>
  </property>
  <property fmtid="{D5CDD505-2E9C-101B-9397-08002B2CF9AE}" pid="53" name="tweb_doc_decisionyear">
    <vt:lpwstr>0</vt:lpwstr>
  </property>
  <property fmtid="{D5CDD505-2E9C-101B-9397-08002B2CF9AE}" pid="54" name="tweb_doc_xsubjectlist">
    <vt:lpwstr/>
  </property>
  <property fmtid="{D5CDD505-2E9C-101B-9397-08002B2CF9AE}" pid="55" name="tweb_doc_presenter">
    <vt:lpwstr/>
  </property>
  <property fmtid="{D5CDD505-2E9C-101B-9397-08002B2CF9AE}" pid="56" name="tweb_doc_solver">
    <vt:lpwstr/>
  </property>
  <property fmtid="{D5CDD505-2E9C-101B-9397-08002B2CF9AE}" pid="57" name="tweb_doc_otherid">
    <vt:lpwstr/>
  </property>
  <property fmtid="{D5CDD505-2E9C-101B-9397-08002B2CF9AE}" pid="58" name="tweb_doc_deadline">
    <vt:lpwstr/>
  </property>
  <property fmtid="{D5CDD505-2E9C-101B-9397-08002B2CF9AE}" pid="59" name="tweb_doc_mamiversion">
    <vt:lpwstr>5.0</vt:lpwstr>
  </property>
  <property fmtid="{D5CDD505-2E9C-101B-9397-08002B2CF9AE}" pid="60" name="tweb_doc_alternativetitle">
    <vt:lpwstr/>
  </property>
  <property fmtid="{D5CDD505-2E9C-101B-9397-08002B2CF9AE}" pid="61" name="tweb_doc_notificationperiodstart">
    <vt:lpwstr/>
  </property>
  <property fmtid="{D5CDD505-2E9C-101B-9397-08002B2CF9AE}" pid="62" name="tweb_doc_notificationperiodend">
    <vt:lpwstr/>
  </property>
  <property fmtid="{D5CDD505-2E9C-101B-9397-08002B2CF9AE}" pid="63" name="tweb_doc_xfilekey">
    <vt:lpwstr>VIEW9cc901b1efaf49a6e7828e76ef4b173</vt:lpwstr>
  </property>
  <property fmtid="{D5CDD505-2E9C-101B-9397-08002B2CF9AE}" pid="64" name="tweb_doc_atts">
    <vt:lpwstr/>
  </property>
  <property fmtid="{D5CDD505-2E9C-101B-9397-08002B2CF9AE}" pid="65" name="tweb_doc_eoperators">
    <vt:lpwstr/>
  </property>
  <property fmtid="{D5CDD505-2E9C-101B-9397-08002B2CF9AE}" pid="66" name="tweb_item_title">
    <vt:lpwstr>Hautaustoimen ohjesäännön päivittäminen uuden kirkkolain mukaisesti</vt:lpwstr>
  </property>
</Properties>
</file>